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0C124" w14:textId="77777777" w:rsidR="001D57DA" w:rsidRDefault="001D57DA" w:rsidP="00EE25B7">
      <w:pPr>
        <w:spacing w:after="0"/>
        <w:jc w:val="both"/>
        <w:rPr>
          <w:rFonts w:ascii="Arial" w:hAnsi="Arial" w:cs="Arial"/>
        </w:rPr>
      </w:pPr>
    </w:p>
    <w:p w14:paraId="11A21C85" w14:textId="605880F3" w:rsidR="002F767D" w:rsidRDefault="00D25DC6" w:rsidP="004A261B">
      <w:pPr>
        <w:spacing w:after="0"/>
        <w:jc w:val="both"/>
        <w:rPr>
          <w:rFonts w:ascii="Arial" w:hAnsi="Arial" w:cs="Arial"/>
        </w:rPr>
      </w:pPr>
      <w:r>
        <w:rPr>
          <w:rFonts w:ascii="Arial" w:hAnsi="Arial" w:cs="Arial"/>
          <w:b/>
          <w:bCs/>
        </w:rPr>
        <w:t>“</w:t>
      </w:r>
      <w:r w:rsidR="00EE25B7">
        <w:rPr>
          <w:rFonts w:ascii="Arial" w:hAnsi="Arial" w:cs="Arial"/>
          <w:b/>
          <w:bCs/>
        </w:rPr>
        <w:t xml:space="preserve">En relación con </w:t>
      </w:r>
      <w:r w:rsidR="00FF02B4">
        <w:rPr>
          <w:rFonts w:ascii="Arial" w:hAnsi="Arial" w:cs="Arial"/>
          <w:b/>
          <w:bCs/>
        </w:rPr>
        <w:t>el punto No.1</w:t>
      </w:r>
      <w:r w:rsidR="00EE25B7">
        <w:rPr>
          <w:rFonts w:ascii="Arial" w:hAnsi="Arial" w:cs="Arial"/>
          <w:b/>
          <w:bCs/>
        </w:rPr>
        <w:t xml:space="preserve">: </w:t>
      </w:r>
      <w:r w:rsidR="004A261B">
        <w:rPr>
          <w:rFonts w:ascii="Arial" w:hAnsi="Arial" w:cs="Arial"/>
        </w:rPr>
        <w:t>La firma electrónica se desarrolla conforme a parámetros técnicos definidos y autorizados por el proveedor del servicio y en consecuencia no existe preferencia para determinar proveedor y el servicio se presta con quien haya acordado la Notaría.</w:t>
      </w:r>
    </w:p>
    <w:p w14:paraId="258DE70C" w14:textId="150E772E" w:rsidR="004A261B" w:rsidRDefault="004A261B" w:rsidP="004A261B">
      <w:pPr>
        <w:spacing w:after="0"/>
        <w:jc w:val="both"/>
        <w:rPr>
          <w:rFonts w:ascii="Arial" w:hAnsi="Arial" w:cs="Arial"/>
        </w:rPr>
      </w:pPr>
    </w:p>
    <w:p w14:paraId="10C57F02" w14:textId="77777777" w:rsidR="004A261B" w:rsidRDefault="004A261B" w:rsidP="004A261B">
      <w:pPr>
        <w:spacing w:after="0"/>
        <w:jc w:val="both"/>
        <w:rPr>
          <w:rFonts w:ascii="Arial" w:hAnsi="Arial" w:cs="Arial"/>
        </w:rPr>
      </w:pPr>
      <w:r>
        <w:rPr>
          <w:rFonts w:ascii="Arial" w:hAnsi="Arial" w:cs="Arial"/>
        </w:rPr>
        <w:t>Todos los actos o contratos son susceptibles de trámite utilizando la firma electrónica y los requisitos de forma y de seguridad son los que ha dispuesto el operador, desde luego observando lo que indique la Ley.</w:t>
      </w:r>
    </w:p>
    <w:p w14:paraId="174DF751" w14:textId="77777777" w:rsidR="004A261B" w:rsidRDefault="004A261B" w:rsidP="004A261B">
      <w:pPr>
        <w:spacing w:after="0"/>
        <w:jc w:val="both"/>
        <w:rPr>
          <w:rFonts w:ascii="Arial" w:hAnsi="Arial" w:cs="Arial"/>
        </w:rPr>
      </w:pPr>
    </w:p>
    <w:p w14:paraId="18C6B1E2" w14:textId="17876BC7" w:rsidR="00532D09" w:rsidRDefault="004A261B" w:rsidP="004A261B">
      <w:pPr>
        <w:spacing w:after="0"/>
        <w:jc w:val="both"/>
        <w:rPr>
          <w:rFonts w:ascii="Arial" w:hAnsi="Arial" w:cs="Arial"/>
        </w:rPr>
      </w:pPr>
      <w:r>
        <w:rPr>
          <w:rFonts w:ascii="Arial" w:hAnsi="Arial" w:cs="Arial"/>
        </w:rPr>
        <w:t>Vale la pena señalar lo referente a la definición</w:t>
      </w:r>
      <w:r w:rsidR="00CD154E">
        <w:rPr>
          <w:rFonts w:ascii="Arial" w:hAnsi="Arial" w:cs="Arial"/>
        </w:rPr>
        <w:t xml:space="preserve"> </w:t>
      </w:r>
      <w:r w:rsidR="0001199F">
        <w:rPr>
          <w:rFonts w:ascii="Arial" w:hAnsi="Arial" w:cs="Arial"/>
        </w:rPr>
        <w:t>sobre firma electrónica y digital</w:t>
      </w:r>
      <w:r w:rsidR="00532D09">
        <w:rPr>
          <w:rFonts w:ascii="Arial" w:hAnsi="Arial" w:cs="Arial"/>
        </w:rPr>
        <w:t xml:space="preserve"> sobre la cual expresamos:</w:t>
      </w:r>
    </w:p>
    <w:p w14:paraId="413E7BEC" w14:textId="54A0655F" w:rsidR="00A25FB6" w:rsidRDefault="00A25FB6" w:rsidP="004A261B">
      <w:pPr>
        <w:spacing w:after="0"/>
        <w:jc w:val="both"/>
        <w:rPr>
          <w:rFonts w:ascii="Arial" w:hAnsi="Arial" w:cs="Arial"/>
        </w:rPr>
      </w:pPr>
    </w:p>
    <w:p w14:paraId="285DDBBC" w14:textId="2A1039C2" w:rsidR="007055E6" w:rsidRDefault="007055E6" w:rsidP="004A261B">
      <w:pPr>
        <w:spacing w:after="0"/>
        <w:jc w:val="both"/>
        <w:rPr>
          <w:rFonts w:ascii="Arial" w:hAnsi="Arial" w:cs="Arial"/>
        </w:rPr>
      </w:pPr>
      <w:r>
        <w:rPr>
          <w:rFonts w:ascii="Arial" w:hAnsi="Arial" w:cs="Arial"/>
        </w:rPr>
        <w:t>La ley 527 de 1999</w:t>
      </w:r>
      <w:r w:rsidR="00696A0E">
        <w:rPr>
          <w:rFonts w:ascii="Arial" w:hAnsi="Arial" w:cs="Arial"/>
        </w:rPr>
        <w:t xml:space="preserve"> en el literal c) del artículo </w:t>
      </w:r>
      <w:r w:rsidR="00CA0A25">
        <w:rPr>
          <w:rFonts w:ascii="Arial" w:hAnsi="Arial" w:cs="Arial"/>
        </w:rPr>
        <w:t>2</w:t>
      </w:r>
      <w:r w:rsidR="00696A0E">
        <w:rPr>
          <w:rFonts w:ascii="Arial" w:hAnsi="Arial" w:cs="Arial"/>
        </w:rPr>
        <w:t>, señala:</w:t>
      </w:r>
    </w:p>
    <w:p w14:paraId="6C9A06CC" w14:textId="77777777" w:rsidR="007055E6" w:rsidRDefault="007055E6" w:rsidP="004A261B">
      <w:pPr>
        <w:spacing w:after="0"/>
        <w:jc w:val="both"/>
        <w:rPr>
          <w:rFonts w:ascii="Arial" w:hAnsi="Arial" w:cs="Arial"/>
        </w:rPr>
      </w:pPr>
    </w:p>
    <w:p w14:paraId="232FDF4A" w14:textId="7217BF34" w:rsidR="00A25FB6" w:rsidRDefault="007055E6" w:rsidP="00FF58B3">
      <w:pPr>
        <w:spacing w:after="0"/>
        <w:ind w:left="426"/>
        <w:jc w:val="both"/>
        <w:rPr>
          <w:rFonts w:ascii="Arial" w:hAnsi="Arial" w:cs="Arial"/>
          <w:i/>
          <w:iCs/>
          <w:color w:val="000000" w:themeColor="text1"/>
        </w:rPr>
      </w:pPr>
      <w:r>
        <w:rPr>
          <w:rFonts w:ascii="Arial" w:hAnsi="Arial" w:cs="Arial"/>
          <w:i/>
          <w:iCs/>
          <w:color w:val="000000" w:themeColor="text1"/>
        </w:rPr>
        <w:t>“</w:t>
      </w:r>
      <w:r w:rsidR="00B636AB" w:rsidRPr="00FF58B3">
        <w:rPr>
          <w:rFonts w:ascii="Arial" w:hAnsi="Arial" w:cs="Arial"/>
          <w:i/>
          <w:iCs/>
          <w:color w:val="000000" w:themeColor="text1"/>
        </w:rPr>
        <w:t xml:space="preserve">c) </w:t>
      </w:r>
      <w:r w:rsidR="00B636AB" w:rsidRPr="007055E6">
        <w:rPr>
          <w:rFonts w:ascii="Arial" w:hAnsi="Arial" w:cs="Arial"/>
          <w:b/>
          <w:bCs/>
          <w:i/>
          <w:iCs/>
          <w:color w:val="000000" w:themeColor="text1"/>
        </w:rPr>
        <w:t>Firma digital.</w:t>
      </w:r>
      <w:r w:rsidR="00B636AB" w:rsidRPr="00FF58B3">
        <w:rPr>
          <w:rFonts w:ascii="Arial" w:hAnsi="Arial" w:cs="Arial"/>
          <w:i/>
          <w:iCs/>
          <w:color w:val="000000" w:themeColor="text1"/>
        </w:rPr>
        <w:t xml:space="preserve"> Se entenderá como un valor numérico que se adhiere a un mensaje de datos y que, utilizando un procedimiento matemático conocido, vinculado a la clave del iniciador y al texto del mensaje permite determinar que este valor se ha obtenido exclusivamente con la clave del iniciador y que el mensaje inicial no ha sido modificado después de efectuada la transformación;</w:t>
      </w:r>
      <w:r>
        <w:rPr>
          <w:rFonts w:ascii="Arial" w:hAnsi="Arial" w:cs="Arial"/>
          <w:i/>
          <w:iCs/>
          <w:color w:val="000000" w:themeColor="text1"/>
        </w:rPr>
        <w:t>”</w:t>
      </w:r>
    </w:p>
    <w:p w14:paraId="6A69574D" w14:textId="26A6227B" w:rsidR="00696A0E" w:rsidRDefault="00696A0E" w:rsidP="00696A0E">
      <w:pPr>
        <w:spacing w:after="0"/>
        <w:jc w:val="both"/>
        <w:rPr>
          <w:rFonts w:ascii="Arial" w:hAnsi="Arial" w:cs="Arial"/>
          <w:color w:val="000000" w:themeColor="text1"/>
        </w:rPr>
      </w:pPr>
    </w:p>
    <w:p w14:paraId="6D94FF10" w14:textId="732F70B6" w:rsidR="00CA0A25" w:rsidRDefault="00A63B20" w:rsidP="004A261B">
      <w:pPr>
        <w:spacing w:after="0"/>
        <w:jc w:val="both"/>
        <w:rPr>
          <w:rFonts w:ascii="Arial" w:hAnsi="Arial" w:cs="Arial"/>
          <w:color w:val="000000" w:themeColor="text1"/>
        </w:rPr>
      </w:pPr>
      <w:r>
        <w:rPr>
          <w:rFonts w:ascii="Arial" w:hAnsi="Arial" w:cs="Arial"/>
          <w:color w:val="000000" w:themeColor="text1"/>
        </w:rPr>
        <w:t xml:space="preserve">Por su parte la Resolución 11 de 2020, en </w:t>
      </w:r>
      <w:r w:rsidR="00477F00">
        <w:rPr>
          <w:rFonts w:ascii="Arial" w:hAnsi="Arial" w:cs="Arial"/>
          <w:color w:val="000000" w:themeColor="text1"/>
        </w:rPr>
        <w:t xml:space="preserve">su </w:t>
      </w:r>
      <w:r w:rsidR="005A448F">
        <w:rPr>
          <w:rFonts w:ascii="Arial" w:hAnsi="Arial" w:cs="Arial"/>
          <w:color w:val="000000" w:themeColor="text1"/>
        </w:rPr>
        <w:t>artículo</w:t>
      </w:r>
      <w:r w:rsidR="00477F00">
        <w:rPr>
          <w:rFonts w:ascii="Arial" w:hAnsi="Arial" w:cs="Arial"/>
          <w:color w:val="000000" w:themeColor="text1"/>
        </w:rPr>
        <w:t xml:space="preserve"> primero definió la firma electrónica así:</w:t>
      </w:r>
    </w:p>
    <w:p w14:paraId="7170D624" w14:textId="6762ABC2" w:rsidR="00477F00" w:rsidRPr="00B4069D" w:rsidRDefault="00B4069D" w:rsidP="00B4069D">
      <w:pPr>
        <w:spacing w:after="0"/>
        <w:ind w:left="567"/>
        <w:jc w:val="both"/>
        <w:rPr>
          <w:rFonts w:ascii="Arial" w:hAnsi="Arial" w:cs="Arial"/>
          <w:i/>
          <w:iCs/>
          <w:color w:val="000000" w:themeColor="text1"/>
        </w:rPr>
      </w:pPr>
      <w:r w:rsidRPr="00B4069D">
        <w:rPr>
          <w:rFonts w:ascii="Arial" w:hAnsi="Arial" w:cs="Arial"/>
          <w:b/>
          <w:bCs/>
          <w:i/>
          <w:iCs/>
          <w:color w:val="000000" w:themeColor="text1"/>
        </w:rPr>
        <w:t>“FIRMA ELECTRÓNICA:</w:t>
      </w:r>
      <w:r w:rsidRPr="00B4069D">
        <w:rPr>
          <w:rFonts w:ascii="Arial" w:hAnsi="Arial" w:cs="Arial"/>
          <w:i/>
          <w:iCs/>
          <w:color w:val="000000" w:themeColor="text1"/>
        </w:rPr>
        <w:t xml:space="preserve"> Métodos tales como, códigos, contraseñas, datos biométricos, o claves criptográficas privadas, que permite identificar a una persona, en relación con un mensaje de datos, siempre y cuando el mismo sea confiable y apropiado respecto de los fines para los que se utiliza la firma, atendidas todas las circunstancias del caso, así como cualquier acuerdo pertinente.”</w:t>
      </w:r>
    </w:p>
    <w:p w14:paraId="34717D74" w14:textId="00E6A702" w:rsidR="00477F00" w:rsidRDefault="00477F00" w:rsidP="004A261B">
      <w:pPr>
        <w:spacing w:after="0"/>
        <w:jc w:val="both"/>
        <w:rPr>
          <w:rFonts w:ascii="Arial" w:hAnsi="Arial" w:cs="Arial"/>
          <w:color w:val="000000" w:themeColor="text1"/>
        </w:rPr>
      </w:pPr>
    </w:p>
    <w:p w14:paraId="66FED283" w14:textId="521793FC" w:rsidR="004A261B" w:rsidRDefault="00F05C16" w:rsidP="004A261B">
      <w:pPr>
        <w:spacing w:after="0"/>
        <w:jc w:val="both"/>
        <w:rPr>
          <w:rFonts w:ascii="Arial" w:hAnsi="Arial" w:cs="Arial"/>
        </w:rPr>
      </w:pPr>
      <w:r>
        <w:rPr>
          <w:rFonts w:ascii="Arial" w:hAnsi="Arial" w:cs="Arial"/>
        </w:rPr>
        <w:t xml:space="preserve">Adicional, debe tenerse en cuenta </w:t>
      </w:r>
      <w:r w:rsidR="00EB70FD">
        <w:rPr>
          <w:rFonts w:ascii="Arial" w:hAnsi="Arial" w:cs="Arial"/>
        </w:rPr>
        <w:t>qu</w:t>
      </w:r>
      <w:r w:rsidR="006F297E">
        <w:rPr>
          <w:rFonts w:ascii="Arial" w:hAnsi="Arial" w:cs="Arial"/>
        </w:rPr>
        <w:t>e,</w:t>
      </w:r>
      <w:r w:rsidR="00EB70FD">
        <w:rPr>
          <w:rFonts w:ascii="Arial" w:hAnsi="Arial" w:cs="Arial"/>
        </w:rPr>
        <w:t xml:space="preserve"> existen 2 formas en los que se puede prestar los servicios notariales</w:t>
      </w:r>
      <w:r w:rsidR="003409D3">
        <w:rPr>
          <w:rFonts w:ascii="Arial" w:hAnsi="Arial" w:cs="Arial"/>
        </w:rPr>
        <w:t xml:space="preserve">, una es presencial o con la asistencia de los usuarios a la sede de la Notaria y la otra se presta </w:t>
      </w:r>
      <w:r w:rsidR="007D5FE5">
        <w:rPr>
          <w:rFonts w:ascii="Arial" w:hAnsi="Arial" w:cs="Arial"/>
        </w:rPr>
        <w:t xml:space="preserve">a través de medios electrónicos siguiendo los protocolos establecidos </w:t>
      </w:r>
      <w:r w:rsidR="007C3926">
        <w:rPr>
          <w:rFonts w:ascii="Arial" w:hAnsi="Arial" w:cs="Arial"/>
        </w:rPr>
        <w:t>para ello en la Resolución No.11 de 2020 y su anexo técnico, expedidos por la Superinten</w:t>
      </w:r>
      <w:r w:rsidR="005D4B7A">
        <w:rPr>
          <w:rFonts w:ascii="Arial" w:hAnsi="Arial" w:cs="Arial"/>
        </w:rPr>
        <w:t>dencia de Notariado y Registro, en ambas debe garantizarse la seguridad requerida</w:t>
      </w:r>
      <w:r w:rsidR="006F297E">
        <w:rPr>
          <w:rFonts w:ascii="Arial" w:hAnsi="Arial" w:cs="Arial"/>
        </w:rPr>
        <w:t>, l</w:t>
      </w:r>
      <w:r w:rsidR="00532D09">
        <w:rPr>
          <w:rFonts w:ascii="Arial" w:hAnsi="Arial" w:cs="Arial"/>
        </w:rPr>
        <w:t xml:space="preserve">o anterior, implica que para cada acto o contrato </w:t>
      </w:r>
      <w:r w:rsidR="00E9143C">
        <w:rPr>
          <w:rFonts w:ascii="Arial" w:hAnsi="Arial" w:cs="Arial"/>
        </w:rPr>
        <w:t xml:space="preserve">existen </w:t>
      </w:r>
      <w:r w:rsidR="00E73D6F">
        <w:rPr>
          <w:rFonts w:ascii="Arial" w:hAnsi="Arial" w:cs="Arial"/>
        </w:rPr>
        <w:t>solemnidades</w:t>
      </w:r>
      <w:r w:rsidR="00E9143C">
        <w:rPr>
          <w:rFonts w:ascii="Arial" w:hAnsi="Arial" w:cs="Arial"/>
        </w:rPr>
        <w:t xml:space="preserve"> y formalidades que deben observarse y en especial a lo refer</w:t>
      </w:r>
      <w:r w:rsidR="00E73D6F">
        <w:rPr>
          <w:rFonts w:ascii="Arial" w:hAnsi="Arial" w:cs="Arial"/>
        </w:rPr>
        <w:t>ido a las reglas de validez de los mismos.</w:t>
      </w:r>
      <w:r w:rsidR="004A261B">
        <w:rPr>
          <w:rFonts w:ascii="Arial" w:hAnsi="Arial" w:cs="Arial"/>
        </w:rPr>
        <w:t xml:space="preserve"> </w:t>
      </w:r>
    </w:p>
    <w:p w14:paraId="221558BA" w14:textId="77777777" w:rsidR="00A15E95" w:rsidRPr="002F767D" w:rsidRDefault="00A15E95" w:rsidP="002F767D">
      <w:pPr>
        <w:spacing w:after="0"/>
        <w:jc w:val="both"/>
        <w:rPr>
          <w:rFonts w:ascii="Arial" w:hAnsi="Arial" w:cs="Arial"/>
        </w:rPr>
      </w:pPr>
    </w:p>
    <w:p w14:paraId="70FD2BB9" w14:textId="1ABE38D0" w:rsidR="00850FE3" w:rsidRDefault="00FF02B4" w:rsidP="00EE25B7">
      <w:pPr>
        <w:spacing w:after="0"/>
        <w:jc w:val="both"/>
        <w:rPr>
          <w:rFonts w:ascii="Arial" w:hAnsi="Arial" w:cs="Arial"/>
        </w:rPr>
      </w:pPr>
      <w:r>
        <w:rPr>
          <w:rFonts w:ascii="Arial" w:hAnsi="Arial" w:cs="Arial"/>
          <w:b/>
          <w:bCs/>
        </w:rPr>
        <w:t>En relación con el punto No.2</w:t>
      </w:r>
      <w:r w:rsidR="00A15E95">
        <w:rPr>
          <w:rFonts w:ascii="Arial" w:hAnsi="Arial" w:cs="Arial"/>
          <w:b/>
          <w:bCs/>
        </w:rPr>
        <w:t xml:space="preserve">: </w:t>
      </w:r>
      <w:r w:rsidR="00D6590F">
        <w:rPr>
          <w:rFonts w:ascii="Arial" w:hAnsi="Arial" w:cs="Arial"/>
        </w:rPr>
        <w:t>Debe anotarse que lo solicitado en este punto</w:t>
      </w:r>
      <w:r w:rsidR="00850FE3">
        <w:rPr>
          <w:rFonts w:ascii="Arial" w:hAnsi="Arial" w:cs="Arial"/>
        </w:rPr>
        <w:t>,</w:t>
      </w:r>
      <w:r w:rsidR="00D6590F">
        <w:rPr>
          <w:rFonts w:ascii="Arial" w:hAnsi="Arial" w:cs="Arial"/>
        </w:rPr>
        <w:t xml:space="preserve"> son </w:t>
      </w:r>
      <w:r w:rsidR="00850FE3">
        <w:rPr>
          <w:rFonts w:ascii="Arial" w:hAnsi="Arial" w:cs="Arial"/>
        </w:rPr>
        <w:t>contratos</w:t>
      </w:r>
      <w:r w:rsidR="00D6590F">
        <w:rPr>
          <w:rFonts w:ascii="Arial" w:hAnsi="Arial" w:cs="Arial"/>
        </w:rPr>
        <w:t xml:space="preserve"> privados que suscribe el Notario y con empresas privadas</w:t>
      </w:r>
      <w:r w:rsidR="00B34702">
        <w:rPr>
          <w:rFonts w:ascii="Arial" w:hAnsi="Arial" w:cs="Arial"/>
        </w:rPr>
        <w:t xml:space="preserve"> y/o públicas</w:t>
      </w:r>
      <w:r w:rsidR="00D6590F">
        <w:rPr>
          <w:rFonts w:ascii="Arial" w:hAnsi="Arial" w:cs="Arial"/>
        </w:rPr>
        <w:t xml:space="preserve"> para adquirir la prestación</w:t>
      </w:r>
      <w:r w:rsidR="00850FE3">
        <w:rPr>
          <w:rFonts w:ascii="Arial" w:hAnsi="Arial" w:cs="Arial"/>
        </w:rPr>
        <w:t xml:space="preserve"> de un servicio.</w:t>
      </w:r>
    </w:p>
    <w:p w14:paraId="345FF9E2" w14:textId="77777777" w:rsidR="00850FE3" w:rsidRDefault="00850FE3" w:rsidP="00EE25B7">
      <w:pPr>
        <w:spacing w:after="0"/>
        <w:jc w:val="both"/>
        <w:rPr>
          <w:rFonts w:ascii="Arial" w:hAnsi="Arial" w:cs="Arial"/>
        </w:rPr>
      </w:pPr>
    </w:p>
    <w:p w14:paraId="79FA8855" w14:textId="41B3D546" w:rsidR="00850FE3" w:rsidRDefault="00850FE3" w:rsidP="00EE25B7">
      <w:pPr>
        <w:spacing w:after="0"/>
        <w:jc w:val="both"/>
        <w:rPr>
          <w:rFonts w:ascii="Arial" w:hAnsi="Arial" w:cs="Arial"/>
        </w:rPr>
      </w:pPr>
      <w:r>
        <w:rPr>
          <w:rFonts w:ascii="Arial" w:hAnsi="Arial" w:cs="Arial"/>
        </w:rPr>
        <w:lastRenderedPageBreak/>
        <w:t xml:space="preserve">No obstante, lo anterior, deben ser entidades con el </w:t>
      </w:r>
      <w:r w:rsidR="00B34702">
        <w:rPr>
          <w:rFonts w:ascii="Arial" w:hAnsi="Arial" w:cs="Arial"/>
        </w:rPr>
        <w:t>aval</w:t>
      </w:r>
      <w:r>
        <w:rPr>
          <w:rFonts w:ascii="Arial" w:hAnsi="Arial" w:cs="Arial"/>
        </w:rPr>
        <w:t xml:space="preserve"> de una Entidad de Certificación </w:t>
      </w:r>
      <w:r w:rsidR="00AD585F">
        <w:rPr>
          <w:rFonts w:ascii="Arial" w:hAnsi="Arial" w:cs="Arial"/>
        </w:rPr>
        <w:t>conforme a la Ley</w:t>
      </w:r>
      <w:r>
        <w:rPr>
          <w:rFonts w:ascii="Arial" w:hAnsi="Arial" w:cs="Arial"/>
        </w:rPr>
        <w:t xml:space="preserve">. </w:t>
      </w:r>
      <w:r w:rsidR="00B97973">
        <w:rPr>
          <w:rFonts w:ascii="Arial" w:hAnsi="Arial" w:cs="Arial"/>
        </w:rPr>
        <w:t xml:space="preserve">En otras </w:t>
      </w:r>
      <w:r w:rsidR="001D57DA">
        <w:rPr>
          <w:rFonts w:ascii="Arial" w:hAnsi="Arial" w:cs="Arial"/>
        </w:rPr>
        <w:t>palabras,</w:t>
      </w:r>
      <w:r w:rsidR="00B97973">
        <w:rPr>
          <w:rFonts w:ascii="Arial" w:hAnsi="Arial" w:cs="Arial"/>
        </w:rPr>
        <w:t xml:space="preserve"> el Notario </w:t>
      </w:r>
      <w:r w:rsidR="00C75C74">
        <w:rPr>
          <w:rFonts w:ascii="Arial" w:hAnsi="Arial" w:cs="Arial"/>
        </w:rPr>
        <w:t>tiene la libertad de seleccionar y contratar el proveedor de los servicios.</w:t>
      </w:r>
    </w:p>
    <w:p w14:paraId="22D5FAD2" w14:textId="06041140" w:rsidR="00850FE3" w:rsidRDefault="00850FE3" w:rsidP="00EE25B7">
      <w:pPr>
        <w:spacing w:after="0"/>
        <w:jc w:val="both"/>
        <w:rPr>
          <w:rFonts w:ascii="Arial" w:hAnsi="Arial" w:cs="Arial"/>
        </w:rPr>
      </w:pPr>
    </w:p>
    <w:p w14:paraId="448FC526" w14:textId="63A93589" w:rsidR="00850FE3" w:rsidRDefault="00FF02B4" w:rsidP="00EE25B7">
      <w:pPr>
        <w:spacing w:after="0"/>
        <w:jc w:val="both"/>
        <w:rPr>
          <w:rFonts w:ascii="Arial" w:hAnsi="Arial" w:cs="Arial"/>
        </w:rPr>
      </w:pPr>
      <w:r>
        <w:rPr>
          <w:rFonts w:ascii="Arial" w:hAnsi="Arial" w:cs="Arial"/>
          <w:b/>
          <w:bCs/>
        </w:rPr>
        <w:t>En relación con el punto No.3</w:t>
      </w:r>
      <w:r w:rsidR="00850FE3">
        <w:rPr>
          <w:rFonts w:ascii="Arial" w:hAnsi="Arial" w:cs="Arial"/>
          <w:b/>
          <w:bCs/>
        </w:rPr>
        <w:t>:</w:t>
      </w:r>
      <w:r w:rsidR="006F11AB">
        <w:rPr>
          <w:rFonts w:ascii="Arial" w:hAnsi="Arial" w:cs="Arial"/>
          <w:b/>
          <w:bCs/>
        </w:rPr>
        <w:t xml:space="preserve"> </w:t>
      </w:r>
      <w:r w:rsidR="006F11AB">
        <w:rPr>
          <w:rFonts w:ascii="Arial" w:hAnsi="Arial" w:cs="Arial"/>
        </w:rPr>
        <w:t>Frente a este punto,</w:t>
      </w:r>
      <w:r w:rsidR="00FA59A6">
        <w:rPr>
          <w:rFonts w:ascii="Arial" w:hAnsi="Arial" w:cs="Arial"/>
        </w:rPr>
        <w:t xml:space="preserve"> en primer lugar,</w:t>
      </w:r>
      <w:r w:rsidR="006F11AB">
        <w:rPr>
          <w:rFonts w:ascii="Arial" w:hAnsi="Arial" w:cs="Arial"/>
        </w:rPr>
        <w:t xml:space="preserve"> es necesario señalar que, el Notario</w:t>
      </w:r>
      <w:r w:rsidR="00850FE3">
        <w:rPr>
          <w:rFonts w:ascii="Arial" w:hAnsi="Arial" w:cs="Arial"/>
          <w:b/>
          <w:bCs/>
        </w:rPr>
        <w:t xml:space="preserve"> </w:t>
      </w:r>
      <w:r w:rsidR="00425C01">
        <w:rPr>
          <w:rFonts w:ascii="Arial" w:hAnsi="Arial" w:cs="Arial"/>
        </w:rPr>
        <w:t>no establece los requisitos para hacer uso de las firmas electrónicas o digitales en el desarrollo de sus funciones, toda vez que como se establece el parágrafo del Artículo 3 del Decreto Ley 960 de 1970</w:t>
      </w:r>
      <w:r w:rsidR="00425C01">
        <w:rPr>
          <w:rStyle w:val="Refdenotaalpie"/>
          <w:rFonts w:ascii="Arial" w:hAnsi="Arial" w:cs="Arial"/>
          <w:i/>
          <w:iCs/>
        </w:rPr>
        <w:footnoteReference w:id="1"/>
      </w:r>
      <w:r w:rsidR="00425C01">
        <w:rPr>
          <w:rFonts w:ascii="Arial" w:hAnsi="Arial" w:cs="Arial"/>
        </w:rPr>
        <w:t xml:space="preserve">, </w:t>
      </w:r>
      <w:r w:rsidR="002D53D1">
        <w:rPr>
          <w:rFonts w:ascii="Arial" w:hAnsi="Arial" w:cs="Arial"/>
        </w:rPr>
        <w:t>es</w:t>
      </w:r>
      <w:r w:rsidR="00425C01">
        <w:rPr>
          <w:rFonts w:ascii="Arial" w:hAnsi="Arial" w:cs="Arial"/>
        </w:rPr>
        <w:t xml:space="preserve"> la Superintendencia de Notariado y registro quien estable</w:t>
      </w:r>
      <w:r w:rsidR="002D53D1">
        <w:rPr>
          <w:rFonts w:ascii="Arial" w:hAnsi="Arial" w:cs="Arial"/>
        </w:rPr>
        <w:t>ce</w:t>
      </w:r>
      <w:r w:rsidR="00425C01">
        <w:rPr>
          <w:rFonts w:ascii="Arial" w:hAnsi="Arial" w:cs="Arial"/>
        </w:rPr>
        <w:t xml:space="preserve"> las directrices </w:t>
      </w:r>
      <w:r w:rsidR="00FA59A6">
        <w:rPr>
          <w:rFonts w:ascii="Arial" w:hAnsi="Arial" w:cs="Arial"/>
        </w:rPr>
        <w:t>de cara a la prestación de los servicios notariales por medios electrónicos.</w:t>
      </w:r>
    </w:p>
    <w:p w14:paraId="381438F9" w14:textId="7ADA81C5" w:rsidR="002D53D1" w:rsidRDefault="002D53D1" w:rsidP="00EE25B7">
      <w:pPr>
        <w:spacing w:after="0"/>
        <w:jc w:val="both"/>
        <w:rPr>
          <w:rFonts w:ascii="Arial" w:hAnsi="Arial" w:cs="Arial"/>
        </w:rPr>
      </w:pPr>
    </w:p>
    <w:p w14:paraId="2BB15030" w14:textId="0153D15A" w:rsidR="002D53D1" w:rsidRDefault="004D5967" w:rsidP="00EE25B7">
      <w:pPr>
        <w:spacing w:after="0"/>
        <w:jc w:val="both"/>
        <w:rPr>
          <w:rFonts w:ascii="Arial" w:hAnsi="Arial" w:cs="Arial"/>
        </w:rPr>
      </w:pPr>
      <w:r>
        <w:rPr>
          <w:rFonts w:ascii="Arial" w:hAnsi="Arial" w:cs="Arial"/>
        </w:rPr>
        <w:t>En segundo lugar</w:t>
      </w:r>
      <w:r w:rsidR="002D53D1">
        <w:rPr>
          <w:rFonts w:ascii="Arial" w:hAnsi="Arial" w:cs="Arial"/>
        </w:rPr>
        <w:t xml:space="preserve">, en lo que se refiere a los poderes especiales para celebrar los contratos de promesa de compraventa, compraventa de bienes muebles e inmuebles, los requisitos técnicos se encuentran establecidos </w:t>
      </w:r>
      <w:r w:rsidR="00EB3E77">
        <w:rPr>
          <w:rFonts w:ascii="Arial" w:hAnsi="Arial" w:cs="Arial"/>
        </w:rPr>
        <w:t>en la Resolución No.11 de 2020 y su</w:t>
      </w:r>
      <w:r w:rsidR="002D53D1">
        <w:rPr>
          <w:rFonts w:ascii="Arial" w:hAnsi="Arial" w:cs="Arial"/>
        </w:rPr>
        <w:t xml:space="preserve"> Anexo técnico</w:t>
      </w:r>
      <w:r w:rsidR="00585B3A">
        <w:rPr>
          <w:rFonts w:ascii="Arial" w:hAnsi="Arial" w:cs="Arial"/>
        </w:rPr>
        <w:t xml:space="preserve">, allí se hace referencia a cada uno de los requisitos para poder acceder a este tipo de servicios. </w:t>
      </w:r>
    </w:p>
    <w:p w14:paraId="7B803964" w14:textId="68B87A9E" w:rsidR="00FA59A6" w:rsidRDefault="00FA59A6" w:rsidP="00EE25B7">
      <w:pPr>
        <w:spacing w:after="0"/>
        <w:jc w:val="both"/>
        <w:rPr>
          <w:rFonts w:ascii="Arial" w:hAnsi="Arial" w:cs="Arial"/>
        </w:rPr>
      </w:pPr>
    </w:p>
    <w:p w14:paraId="5D93E815" w14:textId="0B9E2C14" w:rsidR="00E90984" w:rsidRDefault="00FF02B4" w:rsidP="00EE25B7">
      <w:pPr>
        <w:spacing w:after="0"/>
        <w:jc w:val="both"/>
        <w:rPr>
          <w:rFonts w:ascii="Arial" w:hAnsi="Arial" w:cs="Arial"/>
        </w:rPr>
      </w:pPr>
      <w:r>
        <w:rPr>
          <w:rFonts w:ascii="Arial" w:hAnsi="Arial" w:cs="Arial"/>
          <w:b/>
          <w:bCs/>
        </w:rPr>
        <w:t>En relación con el punto No.4</w:t>
      </w:r>
      <w:r w:rsidR="00EB3E77">
        <w:rPr>
          <w:rFonts w:ascii="Arial" w:hAnsi="Arial" w:cs="Arial"/>
          <w:b/>
          <w:bCs/>
        </w:rPr>
        <w:t>:</w:t>
      </w:r>
      <w:r w:rsidR="00E90984">
        <w:rPr>
          <w:rFonts w:ascii="Arial" w:hAnsi="Arial" w:cs="Arial"/>
          <w:b/>
          <w:bCs/>
        </w:rPr>
        <w:t xml:space="preserve"> </w:t>
      </w:r>
      <w:r w:rsidR="00E90984">
        <w:rPr>
          <w:rFonts w:ascii="Arial" w:hAnsi="Arial" w:cs="Arial"/>
        </w:rPr>
        <w:t xml:space="preserve">Es importante tener en cuenta que los poderes especiales deben ser </w:t>
      </w:r>
      <w:r w:rsidR="00D946AD">
        <w:rPr>
          <w:rFonts w:ascii="Arial" w:hAnsi="Arial" w:cs="Arial"/>
        </w:rPr>
        <w:t xml:space="preserve">autenticados </w:t>
      </w:r>
      <w:r w:rsidR="007B787A">
        <w:rPr>
          <w:rFonts w:ascii="Arial" w:hAnsi="Arial" w:cs="Arial"/>
        </w:rPr>
        <w:t>utilizando el sistema de identificación biométrica</w:t>
      </w:r>
      <w:r w:rsidR="00E90984">
        <w:rPr>
          <w:rFonts w:ascii="Arial" w:hAnsi="Arial" w:cs="Arial"/>
        </w:rPr>
        <w:t>, ello conforme se establece en el artículo 17 del Decreto Ley 0019 de 2012, así mismo debe tenerse en cuenta que, en el mismo Decreto se establece que todos los poderes en que se pretenda</w:t>
      </w:r>
      <w:r w:rsidR="00E90984" w:rsidRPr="00E90984">
        <w:rPr>
          <w:rFonts w:ascii="Arial" w:hAnsi="Arial" w:cs="Arial"/>
        </w:rPr>
        <w:t xml:space="preserve"> realizar actos de disposición, gravamen o limitación al dominio de inmuebles</w:t>
      </w:r>
      <w:r w:rsidR="00E90984">
        <w:rPr>
          <w:rFonts w:ascii="Arial" w:hAnsi="Arial" w:cs="Arial"/>
        </w:rPr>
        <w:t xml:space="preserve"> deben ser cargados en el repositorio de poderes de la </w:t>
      </w:r>
      <w:r w:rsidR="00E90984" w:rsidRPr="00E90984">
        <w:rPr>
          <w:rFonts w:ascii="Arial" w:hAnsi="Arial" w:cs="Arial"/>
        </w:rPr>
        <w:t>Ventanilla Única de Registro (VUR)</w:t>
      </w:r>
      <w:r w:rsidR="00E90984">
        <w:rPr>
          <w:rFonts w:ascii="Arial" w:hAnsi="Arial" w:cs="Arial"/>
        </w:rPr>
        <w:t>, por lo que de momento no es posible adelantar un trámite notarial si no se cumple con lo anteriormente señalado.</w:t>
      </w:r>
    </w:p>
    <w:p w14:paraId="074B168A" w14:textId="1F2F8A65" w:rsidR="00FB777C" w:rsidRDefault="00FB777C" w:rsidP="00EE25B7">
      <w:pPr>
        <w:spacing w:after="0"/>
        <w:jc w:val="both"/>
        <w:rPr>
          <w:rFonts w:ascii="Arial" w:hAnsi="Arial" w:cs="Arial"/>
        </w:rPr>
      </w:pPr>
    </w:p>
    <w:p w14:paraId="7DDD0F3E" w14:textId="3582108F" w:rsidR="00FB777C" w:rsidRPr="00FB777C" w:rsidRDefault="00FF02B4" w:rsidP="00EE25B7">
      <w:pPr>
        <w:spacing w:after="0"/>
        <w:jc w:val="both"/>
        <w:rPr>
          <w:rFonts w:ascii="Arial" w:hAnsi="Arial" w:cs="Arial"/>
        </w:rPr>
      </w:pPr>
      <w:r>
        <w:rPr>
          <w:rFonts w:ascii="Arial" w:hAnsi="Arial" w:cs="Arial"/>
          <w:b/>
          <w:bCs/>
        </w:rPr>
        <w:t>En relación con el punto No.5</w:t>
      </w:r>
      <w:r w:rsidR="00FB777C">
        <w:rPr>
          <w:rFonts w:ascii="Arial" w:hAnsi="Arial" w:cs="Arial"/>
          <w:b/>
          <w:bCs/>
        </w:rPr>
        <w:t xml:space="preserve">: </w:t>
      </w:r>
      <w:r w:rsidR="00F825C2">
        <w:rPr>
          <w:rFonts w:ascii="Arial" w:hAnsi="Arial" w:cs="Arial"/>
        </w:rPr>
        <w:t>En lo que se refiere a este punto n</w:t>
      </w:r>
      <w:r w:rsidR="00FB777C">
        <w:rPr>
          <w:rFonts w:ascii="Arial" w:hAnsi="Arial" w:cs="Arial"/>
        </w:rPr>
        <w:t xml:space="preserve">o es posible por lo expuesto en el numeral anterior. Igualmente </w:t>
      </w:r>
      <w:r w:rsidR="00F825C2">
        <w:rPr>
          <w:rFonts w:ascii="Arial" w:hAnsi="Arial" w:cs="Arial"/>
        </w:rPr>
        <w:t xml:space="preserve">debe </w:t>
      </w:r>
      <w:r w:rsidR="00FB777C">
        <w:rPr>
          <w:rFonts w:ascii="Arial" w:hAnsi="Arial" w:cs="Arial"/>
        </w:rPr>
        <w:t>tenerse</w:t>
      </w:r>
      <w:r w:rsidR="00F825C2">
        <w:rPr>
          <w:rFonts w:ascii="Arial" w:hAnsi="Arial" w:cs="Arial"/>
        </w:rPr>
        <w:t xml:space="preserve"> en cuenta</w:t>
      </w:r>
      <w:r w:rsidR="00FB777C">
        <w:rPr>
          <w:rFonts w:ascii="Arial" w:hAnsi="Arial" w:cs="Arial"/>
        </w:rPr>
        <w:t xml:space="preserve"> lo señalado en el inciso segundo del artículo 2 de la Resolución No.11 de 2020 en la que se señala que, para adelantar las actuaciones por medios electrónicos es necesario </w:t>
      </w:r>
      <w:r w:rsidR="00F825C2">
        <w:rPr>
          <w:rFonts w:ascii="Arial" w:hAnsi="Arial" w:cs="Arial"/>
        </w:rPr>
        <w:t>que las partes se encuentren dentro del círculo notarial al que pertenece el Notario.</w:t>
      </w:r>
      <w:r w:rsidR="00F825C2">
        <w:rPr>
          <w:rStyle w:val="Refdenotaalpie"/>
          <w:rFonts w:ascii="Arial" w:hAnsi="Arial" w:cs="Arial"/>
        </w:rPr>
        <w:footnoteReference w:id="2"/>
      </w:r>
      <w:r w:rsidR="00F825C2">
        <w:rPr>
          <w:rFonts w:ascii="Arial" w:hAnsi="Arial" w:cs="Arial"/>
        </w:rPr>
        <w:t xml:space="preserve"> </w:t>
      </w:r>
    </w:p>
    <w:p w14:paraId="7C5E668A" w14:textId="4436CEA1" w:rsidR="00FB777C" w:rsidRDefault="00FB777C" w:rsidP="00EE25B7">
      <w:pPr>
        <w:spacing w:after="0"/>
        <w:jc w:val="both"/>
        <w:rPr>
          <w:rFonts w:ascii="Arial" w:hAnsi="Arial" w:cs="Arial"/>
        </w:rPr>
      </w:pPr>
    </w:p>
    <w:p w14:paraId="05A1D3DA" w14:textId="0CCB5BA2" w:rsidR="00F825C2" w:rsidRPr="001A1CCB" w:rsidRDefault="00FF02B4" w:rsidP="00EE25B7">
      <w:pPr>
        <w:spacing w:after="0"/>
        <w:jc w:val="both"/>
        <w:rPr>
          <w:rFonts w:ascii="Arial" w:hAnsi="Arial" w:cs="Arial"/>
        </w:rPr>
      </w:pPr>
      <w:r>
        <w:rPr>
          <w:rFonts w:ascii="Arial" w:hAnsi="Arial" w:cs="Arial"/>
          <w:b/>
          <w:bCs/>
        </w:rPr>
        <w:t>En relación con el punto No.6</w:t>
      </w:r>
      <w:r w:rsidR="001A1CCB">
        <w:rPr>
          <w:rFonts w:ascii="Arial" w:hAnsi="Arial" w:cs="Arial"/>
          <w:b/>
          <w:bCs/>
        </w:rPr>
        <w:t xml:space="preserve">: </w:t>
      </w:r>
      <w:r w:rsidR="001A1CCB">
        <w:rPr>
          <w:rFonts w:ascii="Arial" w:hAnsi="Arial" w:cs="Arial"/>
        </w:rPr>
        <w:t xml:space="preserve">Respecto de las restricciones frente a la validez de los poderes especiales, que sean otorgados con firma digital o electrónica </w:t>
      </w:r>
      <w:r w:rsidR="00E54FBE">
        <w:rPr>
          <w:rFonts w:ascii="Arial" w:hAnsi="Arial" w:cs="Arial"/>
        </w:rPr>
        <w:t xml:space="preserve">es preciso señalar que es la Ley </w:t>
      </w:r>
      <w:r w:rsidR="000C1058">
        <w:rPr>
          <w:rFonts w:ascii="Arial" w:hAnsi="Arial" w:cs="Arial"/>
        </w:rPr>
        <w:t>la que</w:t>
      </w:r>
      <w:r w:rsidR="00E54FBE">
        <w:rPr>
          <w:rFonts w:ascii="Arial" w:hAnsi="Arial" w:cs="Arial"/>
        </w:rPr>
        <w:t xml:space="preserve"> establece que los poderes deben ser autenticados y cargados en el repositorio de poderes de la Superintendencia de Notariado y Registro, ello conforme se establece en los artículos 17 y 83 del Decreto 0019 de 2021. </w:t>
      </w:r>
      <w:r w:rsidR="001A1CCB">
        <w:rPr>
          <w:rFonts w:ascii="Arial" w:hAnsi="Arial" w:cs="Arial"/>
        </w:rPr>
        <w:t xml:space="preserve"> </w:t>
      </w:r>
    </w:p>
    <w:p w14:paraId="193AADBB" w14:textId="7B27AAE8" w:rsidR="00E90984" w:rsidRDefault="00E90984" w:rsidP="00EE25B7">
      <w:pPr>
        <w:spacing w:after="0"/>
        <w:jc w:val="both"/>
        <w:rPr>
          <w:rFonts w:ascii="Arial" w:hAnsi="Arial" w:cs="Arial"/>
        </w:rPr>
      </w:pPr>
    </w:p>
    <w:p w14:paraId="5E35FE68" w14:textId="52C144DD" w:rsidR="00E54FBE" w:rsidRDefault="00FF02B4" w:rsidP="00E54FBE">
      <w:pPr>
        <w:spacing w:after="0"/>
        <w:jc w:val="both"/>
        <w:rPr>
          <w:rFonts w:ascii="Arial" w:hAnsi="Arial" w:cs="Arial"/>
        </w:rPr>
      </w:pPr>
      <w:r>
        <w:rPr>
          <w:rFonts w:ascii="Arial" w:hAnsi="Arial" w:cs="Arial"/>
          <w:b/>
          <w:bCs/>
        </w:rPr>
        <w:lastRenderedPageBreak/>
        <w:t>En relación con el punto No.7</w:t>
      </w:r>
      <w:r w:rsidR="00E54FBE">
        <w:rPr>
          <w:rFonts w:ascii="Arial" w:hAnsi="Arial" w:cs="Arial"/>
          <w:b/>
          <w:bCs/>
        </w:rPr>
        <w:t xml:space="preserve">: </w:t>
      </w:r>
      <w:r w:rsidR="00E54FBE">
        <w:rPr>
          <w:rFonts w:ascii="Arial" w:hAnsi="Arial" w:cs="Arial"/>
        </w:rPr>
        <w:t xml:space="preserve">Respecto de las restricciones frente a la validez de los poderes Generales, que sean otorgados con firma digital o electrónica es preciso señalar que es la Ley </w:t>
      </w:r>
      <w:r w:rsidR="00A80F4A">
        <w:rPr>
          <w:rFonts w:ascii="Arial" w:hAnsi="Arial" w:cs="Arial"/>
        </w:rPr>
        <w:t>la que</w:t>
      </w:r>
      <w:r w:rsidR="00E54FBE">
        <w:rPr>
          <w:rFonts w:ascii="Arial" w:hAnsi="Arial" w:cs="Arial"/>
        </w:rPr>
        <w:t xml:space="preserve"> establece que los poderes deben ser</w:t>
      </w:r>
      <w:r w:rsidR="00954A68">
        <w:rPr>
          <w:rFonts w:ascii="Arial" w:hAnsi="Arial" w:cs="Arial"/>
        </w:rPr>
        <w:t xml:space="preserve"> otorgados y autorizados </w:t>
      </w:r>
      <w:r w:rsidR="000C1058">
        <w:rPr>
          <w:rFonts w:ascii="Arial" w:hAnsi="Arial" w:cs="Arial"/>
        </w:rPr>
        <w:t xml:space="preserve">conforme a los requisitos de y además </w:t>
      </w:r>
      <w:r w:rsidR="00E54FBE">
        <w:rPr>
          <w:rFonts w:ascii="Arial" w:hAnsi="Arial" w:cs="Arial"/>
        </w:rPr>
        <w:t xml:space="preserve">cargados en el repositorio de poderes de la Superintendencia de Notariado y Registro, ello conforme se establece en los artículos 17 y 83 del Decreto 0019 de 2021.  </w:t>
      </w:r>
    </w:p>
    <w:p w14:paraId="30168C5E" w14:textId="6C13C0D2" w:rsidR="00E54FBE" w:rsidRDefault="00E54FBE" w:rsidP="00E54FBE">
      <w:pPr>
        <w:spacing w:after="0"/>
        <w:jc w:val="both"/>
        <w:rPr>
          <w:rFonts w:ascii="Arial" w:hAnsi="Arial" w:cs="Arial"/>
        </w:rPr>
      </w:pPr>
    </w:p>
    <w:p w14:paraId="4C9A77FC" w14:textId="2751D19F" w:rsidR="00E54FBE" w:rsidRDefault="00E54FBE" w:rsidP="00E54FBE">
      <w:pPr>
        <w:spacing w:after="0"/>
        <w:jc w:val="both"/>
        <w:rPr>
          <w:rFonts w:ascii="Arial" w:hAnsi="Arial" w:cs="Arial"/>
        </w:rPr>
      </w:pPr>
      <w:r>
        <w:rPr>
          <w:rFonts w:ascii="Arial" w:hAnsi="Arial" w:cs="Arial"/>
        </w:rPr>
        <w:t>No obstante, es preciso señalar que tratándose del poder general elevado a escritura pública electrónica será la Superintendencia quien se pronuncie respecto del procedimiento de este tipo de documento.</w:t>
      </w:r>
      <w:r w:rsidR="00D25DC6">
        <w:rPr>
          <w:rFonts w:ascii="Arial" w:hAnsi="Arial" w:cs="Arial"/>
        </w:rPr>
        <w:t>”</w:t>
      </w:r>
    </w:p>
    <w:p w14:paraId="08E3797C" w14:textId="19B850C8" w:rsidR="005F2922" w:rsidRDefault="005F2922" w:rsidP="00E54FBE">
      <w:pPr>
        <w:spacing w:after="0"/>
        <w:jc w:val="both"/>
        <w:rPr>
          <w:rFonts w:ascii="Arial" w:hAnsi="Arial" w:cs="Arial"/>
        </w:rPr>
      </w:pPr>
    </w:p>
    <w:p w14:paraId="4EFFCE1D" w14:textId="373F7A6B" w:rsidR="005F2922" w:rsidRDefault="005F2922" w:rsidP="00E54FBE">
      <w:pPr>
        <w:spacing w:after="0"/>
        <w:jc w:val="both"/>
        <w:rPr>
          <w:rFonts w:ascii="Arial" w:hAnsi="Arial" w:cs="Arial"/>
        </w:rPr>
      </w:pPr>
      <w:r>
        <w:rPr>
          <w:rFonts w:ascii="Arial" w:hAnsi="Arial" w:cs="Arial"/>
        </w:rPr>
        <w:t>Atentamente,</w:t>
      </w:r>
    </w:p>
    <w:p w14:paraId="194839E2" w14:textId="02E152DF" w:rsidR="005F2922" w:rsidRDefault="005F2922" w:rsidP="00E54FBE">
      <w:pPr>
        <w:spacing w:after="0"/>
        <w:jc w:val="both"/>
        <w:rPr>
          <w:rFonts w:ascii="Arial" w:hAnsi="Arial" w:cs="Arial"/>
        </w:rPr>
      </w:pPr>
    </w:p>
    <w:p w14:paraId="1934D83B" w14:textId="1B581127" w:rsidR="005F2922" w:rsidRDefault="005F2922" w:rsidP="00E54FBE">
      <w:pPr>
        <w:spacing w:after="0"/>
        <w:jc w:val="both"/>
        <w:rPr>
          <w:rFonts w:ascii="Arial" w:hAnsi="Arial" w:cs="Arial"/>
        </w:rPr>
      </w:pPr>
    </w:p>
    <w:p w14:paraId="1C96B4C0" w14:textId="5CA0EA56" w:rsidR="005F2922" w:rsidRDefault="005F2922" w:rsidP="00E54FBE">
      <w:pPr>
        <w:spacing w:after="0"/>
        <w:jc w:val="both"/>
        <w:rPr>
          <w:rFonts w:ascii="Arial" w:hAnsi="Arial" w:cs="Arial"/>
        </w:rPr>
      </w:pPr>
    </w:p>
    <w:p w14:paraId="244AD51D" w14:textId="65DE7447" w:rsidR="005F2922" w:rsidRDefault="005F2922" w:rsidP="00E54FBE">
      <w:pPr>
        <w:spacing w:after="0"/>
        <w:jc w:val="both"/>
        <w:rPr>
          <w:rFonts w:ascii="Arial" w:hAnsi="Arial" w:cs="Arial"/>
        </w:rPr>
      </w:pPr>
    </w:p>
    <w:p w14:paraId="221FB138" w14:textId="4C689406" w:rsidR="005F2922" w:rsidRPr="005F2922" w:rsidRDefault="005F2922" w:rsidP="005F2922">
      <w:pPr>
        <w:spacing w:after="0"/>
        <w:jc w:val="center"/>
        <w:rPr>
          <w:rFonts w:ascii="Arial" w:hAnsi="Arial" w:cs="Arial"/>
          <w:b/>
          <w:bCs/>
        </w:rPr>
      </w:pPr>
      <w:r>
        <w:rPr>
          <w:rFonts w:ascii="Arial" w:hAnsi="Arial" w:cs="Arial"/>
          <w:b/>
          <w:bCs/>
        </w:rPr>
        <w:t>NOMBRE</w:t>
      </w:r>
      <w:r w:rsidR="007B4C8A">
        <w:rPr>
          <w:rFonts w:ascii="Arial" w:hAnsi="Arial" w:cs="Arial"/>
          <w:b/>
          <w:bCs/>
        </w:rPr>
        <w:t xml:space="preserve"> Y FIRMA</w:t>
      </w:r>
      <w:r>
        <w:rPr>
          <w:rFonts w:ascii="Arial" w:hAnsi="Arial" w:cs="Arial"/>
          <w:b/>
          <w:bCs/>
        </w:rPr>
        <w:t xml:space="preserve"> DEL NOTARIO</w:t>
      </w:r>
    </w:p>
    <w:p w14:paraId="772028F2" w14:textId="77777777" w:rsidR="00E54FBE" w:rsidRDefault="00E54FBE" w:rsidP="00E54FBE">
      <w:pPr>
        <w:spacing w:after="0"/>
        <w:jc w:val="both"/>
        <w:rPr>
          <w:rFonts w:ascii="Arial" w:hAnsi="Arial" w:cs="Arial"/>
        </w:rPr>
      </w:pPr>
    </w:p>
    <w:p w14:paraId="3F8500F6" w14:textId="1CBF02FC" w:rsidR="005F15B9" w:rsidRDefault="005F15B9" w:rsidP="00EE25B7">
      <w:pPr>
        <w:spacing w:after="0"/>
        <w:jc w:val="both"/>
        <w:rPr>
          <w:rFonts w:ascii="Arial" w:hAnsi="Arial" w:cs="Arial"/>
        </w:rPr>
      </w:pPr>
    </w:p>
    <w:p w14:paraId="66E2373D" w14:textId="77777777" w:rsidR="005A448F" w:rsidRDefault="005A448F" w:rsidP="00EE25B7">
      <w:pPr>
        <w:spacing w:after="0"/>
        <w:jc w:val="both"/>
        <w:rPr>
          <w:rFonts w:ascii="Arial" w:hAnsi="Arial" w:cs="Arial"/>
        </w:rPr>
      </w:pPr>
    </w:p>
    <w:p w14:paraId="58D19E03" w14:textId="77777777" w:rsidR="005F15B9" w:rsidRDefault="005F15B9" w:rsidP="00EE25B7">
      <w:pPr>
        <w:spacing w:after="0"/>
        <w:jc w:val="both"/>
        <w:rPr>
          <w:rFonts w:ascii="Arial" w:hAnsi="Arial" w:cs="Arial"/>
        </w:rPr>
      </w:pPr>
    </w:p>
    <w:p w14:paraId="44987822" w14:textId="28458C11" w:rsidR="005F15B9" w:rsidRDefault="005F15B9" w:rsidP="00EE25B7">
      <w:pPr>
        <w:spacing w:after="0"/>
        <w:jc w:val="both"/>
        <w:rPr>
          <w:rFonts w:ascii="Arial" w:hAnsi="Arial" w:cs="Arial"/>
        </w:rPr>
      </w:pPr>
    </w:p>
    <w:p w14:paraId="0F1B283E" w14:textId="77777777" w:rsidR="005F15B9" w:rsidRDefault="005F15B9" w:rsidP="00EE25B7">
      <w:pPr>
        <w:spacing w:after="0"/>
        <w:jc w:val="both"/>
        <w:rPr>
          <w:rFonts w:ascii="Arial" w:hAnsi="Arial" w:cs="Arial"/>
        </w:rPr>
      </w:pPr>
    </w:p>
    <w:p w14:paraId="1EFB7CA2" w14:textId="30E9176A" w:rsidR="005F15B9" w:rsidRDefault="005F15B9" w:rsidP="00EE25B7">
      <w:pPr>
        <w:spacing w:after="0"/>
        <w:jc w:val="both"/>
        <w:rPr>
          <w:rFonts w:ascii="Arial" w:hAnsi="Arial" w:cs="Arial"/>
        </w:rPr>
      </w:pPr>
    </w:p>
    <w:p w14:paraId="7933F8B3" w14:textId="77777777" w:rsidR="005F15B9" w:rsidRDefault="005F15B9" w:rsidP="00EE25B7">
      <w:pPr>
        <w:spacing w:after="0"/>
        <w:jc w:val="both"/>
        <w:rPr>
          <w:rFonts w:ascii="Arial" w:hAnsi="Arial" w:cs="Arial"/>
        </w:rPr>
      </w:pPr>
    </w:p>
    <w:p w14:paraId="191EDAE3" w14:textId="4FBFF52E" w:rsidR="00F41A03" w:rsidRDefault="00F41A03" w:rsidP="00EE25B7">
      <w:pPr>
        <w:spacing w:after="0"/>
        <w:jc w:val="both"/>
        <w:rPr>
          <w:rFonts w:ascii="Arial" w:hAnsi="Arial" w:cs="Arial"/>
        </w:rPr>
      </w:pPr>
    </w:p>
    <w:p w14:paraId="122DC0D4" w14:textId="77777777" w:rsidR="00F41A03" w:rsidRDefault="00F41A03" w:rsidP="00EE25B7">
      <w:pPr>
        <w:spacing w:after="0"/>
        <w:jc w:val="both"/>
        <w:rPr>
          <w:rFonts w:ascii="Arial" w:hAnsi="Arial" w:cs="Arial"/>
        </w:rPr>
      </w:pPr>
    </w:p>
    <w:p w14:paraId="47B3E358" w14:textId="77777777" w:rsidR="00E85EDC" w:rsidRDefault="00E85EDC" w:rsidP="00EE25B7">
      <w:pPr>
        <w:spacing w:after="0"/>
        <w:jc w:val="both"/>
        <w:rPr>
          <w:rFonts w:ascii="Arial" w:hAnsi="Arial" w:cs="Arial"/>
        </w:rPr>
      </w:pPr>
    </w:p>
    <w:sectPr w:rsidR="00E85EDC" w:rsidSect="002F767D">
      <w:headerReference w:type="default" r:id="rId8"/>
      <w:footerReference w:type="default" r:id="rId9"/>
      <w:pgSz w:w="12240" w:h="15840"/>
      <w:pgMar w:top="2269" w:right="1701"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C5EE3" w14:textId="77777777" w:rsidR="00FD3A9B" w:rsidRDefault="00FD3A9B" w:rsidP="00425C01">
      <w:pPr>
        <w:spacing w:after="0" w:line="240" w:lineRule="auto"/>
      </w:pPr>
      <w:r>
        <w:separator/>
      </w:r>
    </w:p>
  </w:endnote>
  <w:endnote w:type="continuationSeparator" w:id="0">
    <w:p w14:paraId="6287C747" w14:textId="77777777" w:rsidR="00FD3A9B" w:rsidRDefault="00FD3A9B" w:rsidP="00425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9923361"/>
      <w:docPartObj>
        <w:docPartGallery w:val="Page Numbers (Bottom of Page)"/>
        <w:docPartUnique/>
      </w:docPartObj>
    </w:sdtPr>
    <w:sdtContent>
      <w:p w14:paraId="6EDD9294" w14:textId="3BA2F6B6" w:rsidR="00280D20" w:rsidRDefault="00280D20">
        <w:pPr>
          <w:pStyle w:val="Piedepgina"/>
          <w:jc w:val="center"/>
        </w:pPr>
        <w:r>
          <w:fldChar w:fldCharType="begin"/>
        </w:r>
        <w:r>
          <w:instrText>PAGE   \* MERGEFORMAT</w:instrText>
        </w:r>
        <w:r>
          <w:fldChar w:fldCharType="separate"/>
        </w:r>
        <w:r>
          <w:rPr>
            <w:lang w:val="es-ES"/>
          </w:rPr>
          <w:t>2</w:t>
        </w:r>
        <w:r>
          <w:fldChar w:fldCharType="end"/>
        </w:r>
      </w:p>
    </w:sdtContent>
  </w:sdt>
  <w:p w14:paraId="5B0B584B" w14:textId="77777777" w:rsidR="00280D20" w:rsidRDefault="00280D2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7041C" w14:textId="77777777" w:rsidR="00FD3A9B" w:rsidRDefault="00FD3A9B" w:rsidP="00425C01">
      <w:pPr>
        <w:spacing w:after="0" w:line="240" w:lineRule="auto"/>
      </w:pPr>
      <w:r>
        <w:separator/>
      </w:r>
    </w:p>
  </w:footnote>
  <w:footnote w:type="continuationSeparator" w:id="0">
    <w:p w14:paraId="2308250A" w14:textId="77777777" w:rsidR="00FD3A9B" w:rsidRDefault="00FD3A9B" w:rsidP="00425C01">
      <w:pPr>
        <w:spacing w:after="0" w:line="240" w:lineRule="auto"/>
      </w:pPr>
      <w:r>
        <w:continuationSeparator/>
      </w:r>
    </w:p>
  </w:footnote>
  <w:footnote w:id="1">
    <w:p w14:paraId="4D34157B" w14:textId="710A92B8" w:rsidR="00425C01" w:rsidRPr="00425C01" w:rsidRDefault="00425C01" w:rsidP="001A1CCB">
      <w:pPr>
        <w:pStyle w:val="NormalWeb"/>
        <w:spacing w:before="0" w:beforeAutospacing="0" w:after="0" w:afterAutospacing="0"/>
        <w:jc w:val="both"/>
        <w:rPr>
          <w:i/>
          <w:iCs/>
        </w:rPr>
      </w:pPr>
      <w:r w:rsidRPr="00425C01">
        <w:rPr>
          <w:rStyle w:val="Refdenotaalpie"/>
          <w:sz w:val="18"/>
          <w:szCs w:val="18"/>
        </w:rPr>
        <w:footnoteRef/>
      </w:r>
      <w:r w:rsidRPr="00425C01">
        <w:rPr>
          <w:sz w:val="18"/>
          <w:szCs w:val="18"/>
        </w:rPr>
        <w:t xml:space="preserve"> </w:t>
      </w:r>
      <w:r w:rsidRPr="00425C01">
        <w:rPr>
          <w:rStyle w:val="Textoennegrita"/>
          <w:rFonts w:ascii="Arial" w:hAnsi="Arial" w:cs="Arial"/>
          <w:i/>
          <w:iCs/>
          <w:color w:val="000000"/>
          <w:sz w:val="12"/>
          <w:szCs w:val="12"/>
        </w:rPr>
        <w:t>Decreto Ley 960 de 1970</w:t>
      </w:r>
      <w:r>
        <w:rPr>
          <w:rStyle w:val="Textoennegrita"/>
          <w:rFonts w:ascii="Arial" w:hAnsi="Arial" w:cs="Arial"/>
          <w:i/>
          <w:iCs/>
          <w:color w:val="000000"/>
          <w:sz w:val="12"/>
          <w:szCs w:val="12"/>
        </w:rPr>
        <w:t xml:space="preserve"> </w:t>
      </w:r>
      <w:r w:rsidRPr="00425C01">
        <w:rPr>
          <w:rStyle w:val="Textoennegrita"/>
          <w:rFonts w:ascii="Arial" w:hAnsi="Arial" w:cs="Arial"/>
          <w:i/>
          <w:iCs/>
          <w:color w:val="000000"/>
          <w:sz w:val="12"/>
          <w:szCs w:val="12"/>
        </w:rPr>
        <w:t>Articulo 3</w:t>
      </w:r>
      <w:r>
        <w:rPr>
          <w:rStyle w:val="Textoennegrita"/>
          <w:rFonts w:ascii="Arial" w:hAnsi="Arial" w:cs="Arial"/>
          <w:i/>
          <w:iCs/>
          <w:color w:val="000000"/>
          <w:sz w:val="12"/>
          <w:szCs w:val="12"/>
        </w:rPr>
        <w:t>,</w:t>
      </w:r>
      <w:r w:rsidRPr="00425C01">
        <w:rPr>
          <w:rStyle w:val="Textoennegrita"/>
          <w:rFonts w:ascii="Arial" w:hAnsi="Arial" w:cs="Arial"/>
          <w:i/>
          <w:iCs/>
          <w:color w:val="000000"/>
          <w:sz w:val="12"/>
          <w:szCs w:val="12"/>
        </w:rPr>
        <w:t xml:space="preserve"> Parágrafo.</w:t>
      </w:r>
      <w:r w:rsidRPr="00425C01">
        <w:rPr>
          <w:rFonts w:ascii="Arial" w:hAnsi="Arial" w:cs="Arial"/>
          <w:i/>
          <w:iCs/>
          <w:color w:val="000000"/>
          <w:sz w:val="12"/>
          <w:szCs w:val="12"/>
        </w:rPr>
        <w:t> Para el desarrollo y ejecución de las competencias relacionadas en este artículo, el notario podrá adelantar las actuaciones notariales a través de medios electrónicos, garantizando las condiciones de seguridad, interoperabilidad, integridad y accesibilidad necesarias.  La Superintendencia de Notariado y Registro expedirá las directrices necesarias para la correcta prestación del servicio público notarial a través de medios electrónicos. </w:t>
      </w:r>
    </w:p>
  </w:footnote>
  <w:footnote w:id="2">
    <w:p w14:paraId="1549803E" w14:textId="510C15FD" w:rsidR="00F825C2" w:rsidRPr="001A1CCB" w:rsidRDefault="00F825C2" w:rsidP="001A1CCB">
      <w:pPr>
        <w:pStyle w:val="Textonotapie"/>
        <w:jc w:val="both"/>
        <w:rPr>
          <w:rFonts w:ascii="Arial" w:eastAsia="Times New Roman" w:hAnsi="Arial" w:cs="Arial"/>
          <w:i/>
          <w:iCs/>
          <w:color w:val="000000"/>
          <w:sz w:val="12"/>
          <w:szCs w:val="12"/>
          <w:lang w:eastAsia="es-CO"/>
        </w:rPr>
      </w:pPr>
      <w:r>
        <w:rPr>
          <w:rStyle w:val="Refdenotaalpie"/>
        </w:rPr>
        <w:footnoteRef/>
      </w:r>
      <w:r>
        <w:t xml:space="preserve"> </w:t>
      </w:r>
      <w:r w:rsidR="001A1CCB" w:rsidRPr="001A1CCB">
        <w:rPr>
          <w:rStyle w:val="Textoennegrita"/>
          <w:rFonts w:ascii="Arial" w:eastAsia="Times New Roman" w:hAnsi="Arial" w:cs="Arial"/>
          <w:i/>
          <w:iCs/>
          <w:color w:val="000000"/>
          <w:sz w:val="12"/>
          <w:szCs w:val="12"/>
          <w:lang w:eastAsia="es-CO"/>
        </w:rPr>
        <w:t>Resolución No.11 de 2020 – SNR- Artículo 2 Inc2.</w:t>
      </w:r>
      <w:r w:rsidR="001A1CCB">
        <w:t xml:space="preserve"> </w:t>
      </w:r>
      <w:r w:rsidR="001A1CCB" w:rsidRPr="001A1CCB">
        <w:rPr>
          <w:rFonts w:ascii="Arial" w:eastAsia="Times New Roman" w:hAnsi="Arial" w:cs="Arial"/>
          <w:i/>
          <w:iCs/>
          <w:color w:val="000000"/>
          <w:sz w:val="12"/>
          <w:szCs w:val="12"/>
          <w:lang w:eastAsia="es-CO"/>
        </w:rPr>
        <w:t>Para adelantar las actuaciones notariales por medios electrónicos, los Notarios y las partes deberán encontrarse en el círculo notarial al que pertenece el Notario, lo cual se verificará según lo señala el Anexo Técnico denominado Actos Notariales Electrónicos.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D8FA4" w14:textId="77777777" w:rsidR="00280D20" w:rsidRDefault="00280D20" w:rsidP="005B7ABF">
    <w:pPr>
      <w:pStyle w:val="Encabezado"/>
      <w:jc w:val="center"/>
      <w:rPr>
        <w:b/>
        <w:bCs/>
      </w:rPr>
    </w:pPr>
  </w:p>
  <w:p w14:paraId="78949477" w14:textId="77777777" w:rsidR="00280D20" w:rsidRPr="00280D20" w:rsidRDefault="00280D20" w:rsidP="005B7ABF">
    <w:pPr>
      <w:pStyle w:val="Encabezado"/>
      <w:jc w:val="center"/>
      <w:rPr>
        <w:b/>
        <w:bCs/>
        <w:color w:val="FF0000"/>
      </w:rPr>
    </w:pPr>
  </w:p>
  <w:p w14:paraId="679F23F7" w14:textId="652C891A" w:rsidR="005B7ABF" w:rsidRPr="00280D20" w:rsidRDefault="00280D20" w:rsidP="005B7ABF">
    <w:pPr>
      <w:pStyle w:val="Encabezado"/>
      <w:jc w:val="center"/>
      <w:rPr>
        <w:b/>
        <w:bCs/>
        <w:color w:val="FF0000"/>
      </w:rPr>
    </w:pPr>
    <w:r w:rsidRPr="00280D20">
      <w:rPr>
        <w:b/>
        <w:bCs/>
        <w:color w:val="FF0000"/>
      </w:rPr>
      <w:t>PROYECTO DE RESPUESTA DERECHO DE PETICIÓN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85AB7"/>
    <w:multiLevelType w:val="hybridMultilevel"/>
    <w:tmpl w:val="C40216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D3C"/>
    <w:rsid w:val="0001199F"/>
    <w:rsid w:val="0005400B"/>
    <w:rsid w:val="00087D9A"/>
    <w:rsid w:val="00096C24"/>
    <w:rsid w:val="000C1058"/>
    <w:rsid w:val="001A1CCB"/>
    <w:rsid w:val="001D57DA"/>
    <w:rsid w:val="001F4A33"/>
    <w:rsid w:val="00280D20"/>
    <w:rsid w:val="00280D3C"/>
    <w:rsid w:val="002D53D1"/>
    <w:rsid w:val="002F767D"/>
    <w:rsid w:val="003409D3"/>
    <w:rsid w:val="003F2716"/>
    <w:rsid w:val="00425C01"/>
    <w:rsid w:val="00477F00"/>
    <w:rsid w:val="004A261B"/>
    <w:rsid w:val="004D5967"/>
    <w:rsid w:val="0052324C"/>
    <w:rsid w:val="00532D09"/>
    <w:rsid w:val="005824CC"/>
    <w:rsid w:val="00585B3A"/>
    <w:rsid w:val="005A448F"/>
    <w:rsid w:val="005B0E91"/>
    <w:rsid w:val="005B7ABF"/>
    <w:rsid w:val="005D4B7A"/>
    <w:rsid w:val="005F15B9"/>
    <w:rsid w:val="005F2922"/>
    <w:rsid w:val="005F7FA9"/>
    <w:rsid w:val="00696A0E"/>
    <w:rsid w:val="006F11AB"/>
    <w:rsid w:val="006F297E"/>
    <w:rsid w:val="007055E6"/>
    <w:rsid w:val="00745E2B"/>
    <w:rsid w:val="00781301"/>
    <w:rsid w:val="007B4C8A"/>
    <w:rsid w:val="007B787A"/>
    <w:rsid w:val="007C3926"/>
    <w:rsid w:val="007D5FE5"/>
    <w:rsid w:val="00850FE3"/>
    <w:rsid w:val="008708A4"/>
    <w:rsid w:val="008A67FC"/>
    <w:rsid w:val="008D212F"/>
    <w:rsid w:val="00954A68"/>
    <w:rsid w:val="00A15E95"/>
    <w:rsid w:val="00A25FB6"/>
    <w:rsid w:val="00A47C7C"/>
    <w:rsid w:val="00A63B20"/>
    <w:rsid w:val="00A80F4A"/>
    <w:rsid w:val="00AD585F"/>
    <w:rsid w:val="00B34702"/>
    <w:rsid w:val="00B4069D"/>
    <w:rsid w:val="00B636AB"/>
    <w:rsid w:val="00B97973"/>
    <w:rsid w:val="00C75C74"/>
    <w:rsid w:val="00CA0A25"/>
    <w:rsid w:val="00CD154E"/>
    <w:rsid w:val="00D25DC6"/>
    <w:rsid w:val="00D6590F"/>
    <w:rsid w:val="00D946AD"/>
    <w:rsid w:val="00E3068C"/>
    <w:rsid w:val="00E54FBE"/>
    <w:rsid w:val="00E73D6F"/>
    <w:rsid w:val="00E85EDC"/>
    <w:rsid w:val="00E90984"/>
    <w:rsid w:val="00E9143C"/>
    <w:rsid w:val="00EB3E77"/>
    <w:rsid w:val="00EB70FD"/>
    <w:rsid w:val="00EE25B7"/>
    <w:rsid w:val="00F05C16"/>
    <w:rsid w:val="00F41A03"/>
    <w:rsid w:val="00F55FB9"/>
    <w:rsid w:val="00F825C2"/>
    <w:rsid w:val="00FA59A6"/>
    <w:rsid w:val="00FB777C"/>
    <w:rsid w:val="00FD3A9B"/>
    <w:rsid w:val="00FF02B4"/>
    <w:rsid w:val="00FF58B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CE2AB"/>
  <w15:chartTrackingRefBased/>
  <w15:docId w15:val="{706C5D6F-543E-4298-A733-665FEA1A5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80D3C"/>
    <w:rPr>
      <w:color w:val="0563C1" w:themeColor="hyperlink"/>
      <w:u w:val="single"/>
    </w:rPr>
  </w:style>
  <w:style w:type="character" w:styleId="Mencinsinresolver">
    <w:name w:val="Unresolved Mention"/>
    <w:basedOn w:val="Fuentedeprrafopredeter"/>
    <w:uiPriority w:val="99"/>
    <w:semiHidden/>
    <w:unhideWhenUsed/>
    <w:rsid w:val="00280D3C"/>
    <w:rPr>
      <w:color w:val="605E5C"/>
      <w:shd w:val="clear" w:color="auto" w:fill="E1DFDD"/>
    </w:rPr>
  </w:style>
  <w:style w:type="paragraph" w:styleId="Prrafodelista">
    <w:name w:val="List Paragraph"/>
    <w:basedOn w:val="Normal"/>
    <w:uiPriority w:val="34"/>
    <w:qFormat/>
    <w:rsid w:val="002F767D"/>
    <w:pPr>
      <w:ind w:left="720"/>
      <w:contextualSpacing/>
    </w:pPr>
  </w:style>
  <w:style w:type="paragraph" w:styleId="Textonotapie">
    <w:name w:val="footnote text"/>
    <w:basedOn w:val="Normal"/>
    <w:link w:val="TextonotapieCar"/>
    <w:uiPriority w:val="99"/>
    <w:semiHidden/>
    <w:unhideWhenUsed/>
    <w:rsid w:val="00425C0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25C01"/>
    <w:rPr>
      <w:sz w:val="20"/>
      <w:szCs w:val="20"/>
    </w:rPr>
  </w:style>
  <w:style w:type="character" w:styleId="Refdenotaalpie">
    <w:name w:val="footnote reference"/>
    <w:basedOn w:val="Fuentedeprrafopredeter"/>
    <w:uiPriority w:val="99"/>
    <w:semiHidden/>
    <w:unhideWhenUsed/>
    <w:rsid w:val="00425C01"/>
    <w:rPr>
      <w:vertAlign w:val="superscript"/>
    </w:rPr>
  </w:style>
  <w:style w:type="paragraph" w:styleId="NormalWeb">
    <w:name w:val="Normal (Web)"/>
    <w:basedOn w:val="Normal"/>
    <w:uiPriority w:val="99"/>
    <w:unhideWhenUsed/>
    <w:rsid w:val="00425C0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425C01"/>
    <w:rPr>
      <w:b/>
      <w:bCs/>
    </w:rPr>
  </w:style>
  <w:style w:type="paragraph" w:styleId="Encabezado">
    <w:name w:val="header"/>
    <w:basedOn w:val="Normal"/>
    <w:link w:val="EncabezadoCar"/>
    <w:uiPriority w:val="99"/>
    <w:unhideWhenUsed/>
    <w:rsid w:val="005B7A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B7ABF"/>
  </w:style>
  <w:style w:type="paragraph" w:styleId="Piedepgina">
    <w:name w:val="footer"/>
    <w:basedOn w:val="Normal"/>
    <w:link w:val="PiedepginaCar"/>
    <w:uiPriority w:val="99"/>
    <w:unhideWhenUsed/>
    <w:rsid w:val="005B7A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B7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93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CCFFA-B92A-4393-B53E-646D6C814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861</Words>
  <Characters>4739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Jeferson Casas</dc:creator>
  <cp:keywords/>
  <dc:description/>
  <cp:lastModifiedBy>Jeferson Casas</cp:lastModifiedBy>
  <cp:revision>2</cp:revision>
  <cp:lastPrinted>2021-06-02T20:07:00Z</cp:lastPrinted>
  <dcterms:created xsi:type="dcterms:W3CDTF">2021-06-02T20:28:00Z</dcterms:created>
  <dcterms:modified xsi:type="dcterms:W3CDTF">2021-06-02T20:28:00Z</dcterms:modified>
</cp:coreProperties>
</file>