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31ED42" w14:textId="24667D3B" w:rsidR="00BC49BA" w:rsidRPr="0098574C" w:rsidRDefault="001C7762" w:rsidP="001C7762">
      <w:pPr>
        <w:jc w:val="right"/>
        <w:rPr>
          <w:rFonts w:ascii="Arial" w:hAnsi="Arial" w:cs="Arial"/>
          <w:sz w:val="24"/>
          <w:szCs w:val="24"/>
          <w:lang w:val="es-CO"/>
        </w:rPr>
      </w:pPr>
      <w:r w:rsidRPr="0098574C">
        <w:rPr>
          <w:rFonts w:ascii="Arial" w:hAnsi="Arial" w:cs="Arial"/>
          <w:sz w:val="24"/>
          <w:szCs w:val="24"/>
          <w:lang w:val="es-CO"/>
        </w:rPr>
        <w:t>(</w:t>
      </w:r>
      <w:r w:rsidRPr="0098574C">
        <w:rPr>
          <w:rFonts w:ascii="Arial" w:hAnsi="Arial" w:cs="Arial"/>
          <w:sz w:val="24"/>
          <w:szCs w:val="24"/>
          <w:highlight w:val="yellow"/>
          <w:lang w:val="es-CO"/>
        </w:rPr>
        <w:t>Ciudad – Municipio</w:t>
      </w:r>
      <w:r w:rsidRPr="0098574C">
        <w:rPr>
          <w:rFonts w:ascii="Arial" w:hAnsi="Arial" w:cs="Arial"/>
          <w:sz w:val="24"/>
          <w:szCs w:val="24"/>
          <w:lang w:val="es-CO"/>
        </w:rPr>
        <w:t>) (</w:t>
      </w:r>
      <w:r w:rsidRPr="0098574C">
        <w:rPr>
          <w:rFonts w:ascii="Arial" w:hAnsi="Arial" w:cs="Arial"/>
          <w:sz w:val="24"/>
          <w:szCs w:val="24"/>
          <w:highlight w:val="yellow"/>
          <w:lang w:val="es-CO"/>
        </w:rPr>
        <w:t>Fecha</w:t>
      </w:r>
      <w:r w:rsidRPr="0098574C">
        <w:rPr>
          <w:rFonts w:ascii="Arial" w:hAnsi="Arial" w:cs="Arial"/>
          <w:sz w:val="24"/>
          <w:szCs w:val="24"/>
          <w:lang w:val="es-CO"/>
        </w:rPr>
        <w:t>) de mayo de 2022</w:t>
      </w:r>
    </w:p>
    <w:p w14:paraId="0ADF1435" w14:textId="2B16EB94" w:rsidR="001C7762" w:rsidRPr="0098574C" w:rsidRDefault="001C7762" w:rsidP="001C7762">
      <w:pPr>
        <w:jc w:val="right"/>
        <w:rPr>
          <w:rFonts w:ascii="Arial" w:hAnsi="Arial" w:cs="Arial"/>
          <w:sz w:val="24"/>
          <w:szCs w:val="24"/>
          <w:lang w:val="es-CO"/>
        </w:rPr>
      </w:pPr>
    </w:p>
    <w:p w14:paraId="1174C464" w14:textId="77777777" w:rsidR="00A3742F" w:rsidRPr="0098574C" w:rsidRDefault="00A3742F" w:rsidP="001C7762">
      <w:pPr>
        <w:rPr>
          <w:rFonts w:ascii="Arial" w:hAnsi="Arial" w:cs="Arial"/>
          <w:sz w:val="24"/>
          <w:szCs w:val="24"/>
          <w:lang w:val="es-CO"/>
        </w:rPr>
      </w:pPr>
    </w:p>
    <w:p w14:paraId="7AF821BC" w14:textId="77777777" w:rsidR="00873E7D" w:rsidRPr="0098574C" w:rsidRDefault="00873E7D" w:rsidP="001C7762">
      <w:pPr>
        <w:rPr>
          <w:rFonts w:ascii="Arial" w:hAnsi="Arial" w:cs="Arial"/>
          <w:sz w:val="24"/>
          <w:szCs w:val="24"/>
          <w:lang w:val="es-CO"/>
        </w:rPr>
      </w:pPr>
    </w:p>
    <w:p w14:paraId="29585AB1" w14:textId="6E602F01" w:rsidR="001C7762" w:rsidRPr="0098574C" w:rsidRDefault="001C7762" w:rsidP="001C7762">
      <w:pPr>
        <w:rPr>
          <w:rFonts w:ascii="Arial" w:hAnsi="Arial" w:cs="Arial"/>
          <w:sz w:val="24"/>
          <w:szCs w:val="24"/>
          <w:lang w:val="es-CO"/>
        </w:rPr>
      </w:pPr>
      <w:r w:rsidRPr="0098574C">
        <w:rPr>
          <w:rFonts w:ascii="Arial" w:hAnsi="Arial" w:cs="Arial"/>
          <w:sz w:val="24"/>
          <w:szCs w:val="24"/>
          <w:lang w:val="es-CO"/>
        </w:rPr>
        <w:t xml:space="preserve">Doctor </w:t>
      </w:r>
    </w:p>
    <w:p w14:paraId="068F2AB4" w14:textId="3208909B" w:rsidR="001C7762" w:rsidRPr="0098574C" w:rsidRDefault="001C7762" w:rsidP="001C7762">
      <w:pPr>
        <w:rPr>
          <w:rFonts w:ascii="Arial" w:hAnsi="Arial" w:cs="Arial"/>
          <w:b/>
          <w:bCs/>
          <w:sz w:val="24"/>
          <w:szCs w:val="24"/>
          <w:lang w:val="es-CO"/>
        </w:rPr>
      </w:pPr>
      <w:r w:rsidRPr="0098574C">
        <w:rPr>
          <w:rFonts w:ascii="Arial" w:hAnsi="Arial" w:cs="Arial"/>
          <w:b/>
          <w:bCs/>
          <w:sz w:val="24"/>
          <w:szCs w:val="24"/>
          <w:lang w:val="es-CO"/>
        </w:rPr>
        <w:t>KEVIN OLIVER KEEP</w:t>
      </w:r>
    </w:p>
    <w:p w14:paraId="0DA05E3B" w14:textId="280B304A" w:rsidR="001C7762" w:rsidRPr="0098574C" w:rsidRDefault="001C7762" w:rsidP="001C7762">
      <w:pPr>
        <w:rPr>
          <w:rFonts w:ascii="Arial" w:hAnsi="Arial" w:cs="Arial"/>
          <w:sz w:val="24"/>
          <w:szCs w:val="24"/>
          <w:lang w:val="es-CO"/>
        </w:rPr>
      </w:pPr>
      <w:r w:rsidRPr="0098574C">
        <w:rPr>
          <w:rFonts w:ascii="Arial" w:hAnsi="Arial" w:cs="Arial"/>
          <w:sz w:val="24"/>
          <w:szCs w:val="24"/>
          <w:lang w:val="es-CO"/>
        </w:rPr>
        <w:t xml:space="preserve">Presidente </w:t>
      </w:r>
    </w:p>
    <w:p w14:paraId="50485765" w14:textId="6E20EA6F" w:rsidR="001C7762" w:rsidRPr="0098574C" w:rsidRDefault="001C7762" w:rsidP="001C7762">
      <w:pPr>
        <w:rPr>
          <w:rFonts w:ascii="Arial" w:hAnsi="Arial" w:cs="Arial"/>
          <w:sz w:val="24"/>
          <w:szCs w:val="24"/>
          <w:lang w:val="es-CO"/>
        </w:rPr>
      </w:pPr>
      <w:r w:rsidRPr="0098574C">
        <w:rPr>
          <w:rFonts w:ascii="Arial" w:hAnsi="Arial" w:cs="Arial"/>
          <w:sz w:val="24"/>
          <w:szCs w:val="24"/>
          <w:lang w:val="es-CO"/>
        </w:rPr>
        <w:t>VEEDURÍA JURÍDICA NACIONAL A LA GESTIÓN ADMINISTRATIVA DEL ESTADO</w:t>
      </w:r>
    </w:p>
    <w:p w14:paraId="7FCEA7AC" w14:textId="6B37BB7E" w:rsidR="001C7762" w:rsidRPr="0098574C" w:rsidRDefault="008702E4" w:rsidP="001C7762">
      <w:pPr>
        <w:rPr>
          <w:rFonts w:ascii="Arial" w:hAnsi="Arial" w:cs="Arial"/>
          <w:sz w:val="24"/>
          <w:szCs w:val="24"/>
          <w:lang w:val="es-CO"/>
        </w:rPr>
      </w:pPr>
      <w:hyperlink r:id="rId8" w:history="1">
        <w:r w:rsidR="00FA5170" w:rsidRPr="0098574C">
          <w:rPr>
            <w:rStyle w:val="Hipervnculo"/>
            <w:rFonts w:ascii="Arial" w:hAnsi="Arial" w:cs="Arial"/>
            <w:sz w:val="24"/>
            <w:szCs w:val="24"/>
            <w:lang w:val="es-CO"/>
          </w:rPr>
          <w:t>Controlyvigilancia.admn@gmail.com</w:t>
        </w:r>
      </w:hyperlink>
      <w:r w:rsidR="00FA5170" w:rsidRPr="0098574C">
        <w:rPr>
          <w:rFonts w:ascii="Arial" w:hAnsi="Arial" w:cs="Arial"/>
          <w:sz w:val="24"/>
          <w:szCs w:val="24"/>
          <w:lang w:val="es-CO"/>
        </w:rPr>
        <w:t xml:space="preserve">  </w:t>
      </w:r>
    </w:p>
    <w:p w14:paraId="301E4ECE" w14:textId="01989D95" w:rsidR="00A3742F" w:rsidRPr="0098574C" w:rsidRDefault="00A3742F" w:rsidP="001C7762">
      <w:pPr>
        <w:rPr>
          <w:rFonts w:ascii="Arial" w:hAnsi="Arial" w:cs="Arial"/>
          <w:sz w:val="24"/>
          <w:szCs w:val="24"/>
          <w:shd w:val="clear" w:color="auto" w:fill="FFFFFF"/>
        </w:rPr>
      </w:pPr>
      <w:r w:rsidRPr="0098574C">
        <w:rPr>
          <w:rFonts w:ascii="Arial" w:hAnsi="Arial" w:cs="Arial"/>
          <w:sz w:val="24"/>
          <w:szCs w:val="24"/>
          <w:shd w:val="clear" w:color="auto" w:fill="FFFFFF"/>
        </w:rPr>
        <w:t xml:space="preserve">Cartagena de Indias, D. T. y C. </w:t>
      </w:r>
    </w:p>
    <w:p w14:paraId="2A61D1F5" w14:textId="05C06545" w:rsidR="00A3742F" w:rsidRPr="0098574C" w:rsidRDefault="00A3742F" w:rsidP="001C7762">
      <w:pPr>
        <w:rPr>
          <w:rFonts w:ascii="Arial" w:hAnsi="Arial" w:cs="Arial"/>
          <w:sz w:val="24"/>
          <w:szCs w:val="24"/>
          <w:shd w:val="clear" w:color="auto" w:fill="FFFFFF"/>
        </w:rPr>
      </w:pPr>
    </w:p>
    <w:p w14:paraId="40F9C38F" w14:textId="48D02754" w:rsidR="00A3742F" w:rsidRPr="0098574C" w:rsidRDefault="00A3742F" w:rsidP="001C7762">
      <w:pPr>
        <w:rPr>
          <w:rFonts w:ascii="Arial" w:hAnsi="Arial" w:cs="Arial"/>
          <w:sz w:val="24"/>
          <w:szCs w:val="24"/>
          <w:shd w:val="clear" w:color="auto" w:fill="FFFFFF"/>
        </w:rPr>
      </w:pPr>
    </w:p>
    <w:p w14:paraId="7481AE4F" w14:textId="6335759C" w:rsidR="00A3742F" w:rsidRPr="0098574C" w:rsidRDefault="00A3742F" w:rsidP="001C7762">
      <w:pPr>
        <w:rPr>
          <w:rFonts w:ascii="Arial" w:hAnsi="Arial" w:cs="Arial"/>
          <w:sz w:val="24"/>
          <w:szCs w:val="24"/>
          <w:shd w:val="clear" w:color="auto" w:fill="FFFFFF"/>
        </w:rPr>
      </w:pPr>
      <w:r w:rsidRPr="0098574C">
        <w:rPr>
          <w:rFonts w:ascii="Arial" w:hAnsi="Arial" w:cs="Arial"/>
          <w:sz w:val="24"/>
          <w:szCs w:val="24"/>
          <w:shd w:val="clear" w:color="auto" w:fill="FFFFFF"/>
        </w:rPr>
        <w:t>Respetado Doctor:</w:t>
      </w:r>
    </w:p>
    <w:p w14:paraId="14EDBAEA" w14:textId="7F28634B" w:rsidR="00A3742F" w:rsidRPr="0098574C" w:rsidRDefault="00A3742F" w:rsidP="001C7762">
      <w:pPr>
        <w:rPr>
          <w:rFonts w:ascii="Arial" w:hAnsi="Arial" w:cs="Arial"/>
          <w:sz w:val="24"/>
          <w:szCs w:val="24"/>
          <w:shd w:val="clear" w:color="auto" w:fill="FFFFFF"/>
        </w:rPr>
      </w:pPr>
    </w:p>
    <w:p w14:paraId="6C349C5C" w14:textId="5A9B4AEA" w:rsidR="0001621A" w:rsidRPr="0098574C" w:rsidRDefault="00225414" w:rsidP="00A3742F">
      <w:pPr>
        <w:jc w:val="both"/>
        <w:rPr>
          <w:rFonts w:ascii="Arial" w:hAnsi="Arial" w:cs="Arial"/>
          <w:sz w:val="24"/>
          <w:szCs w:val="24"/>
          <w:shd w:val="clear" w:color="auto" w:fill="FFFFFF"/>
        </w:rPr>
      </w:pPr>
      <w:r w:rsidRPr="0098574C">
        <w:rPr>
          <w:rFonts w:ascii="Arial" w:hAnsi="Arial" w:cs="Arial"/>
          <w:sz w:val="24"/>
          <w:szCs w:val="24"/>
          <w:shd w:val="clear" w:color="auto" w:fill="FFFFFF"/>
        </w:rPr>
        <w:t>En atención</w:t>
      </w:r>
      <w:r w:rsidR="00A3742F" w:rsidRPr="0098574C">
        <w:rPr>
          <w:rFonts w:ascii="Arial" w:hAnsi="Arial" w:cs="Arial"/>
          <w:sz w:val="24"/>
          <w:szCs w:val="24"/>
          <w:shd w:val="clear" w:color="auto" w:fill="FFFFFF"/>
        </w:rPr>
        <w:t xml:space="preserve"> a su derecho de petición</w:t>
      </w:r>
      <w:r w:rsidR="0001621A" w:rsidRPr="0098574C">
        <w:rPr>
          <w:rFonts w:ascii="Arial" w:hAnsi="Arial" w:cs="Arial"/>
          <w:sz w:val="24"/>
          <w:szCs w:val="24"/>
          <w:shd w:val="clear" w:color="auto" w:fill="FFFFFF"/>
        </w:rPr>
        <w:t xml:space="preserve">, </w:t>
      </w:r>
      <w:r w:rsidR="00A3742F" w:rsidRPr="0098574C">
        <w:rPr>
          <w:rFonts w:ascii="Arial" w:hAnsi="Arial" w:cs="Arial"/>
          <w:sz w:val="24"/>
          <w:szCs w:val="24"/>
          <w:shd w:val="clear" w:color="auto" w:fill="FFFFFF"/>
        </w:rPr>
        <w:t>r</w:t>
      </w:r>
      <w:r w:rsidRPr="0098574C">
        <w:rPr>
          <w:rFonts w:ascii="Arial" w:hAnsi="Arial" w:cs="Arial"/>
          <w:sz w:val="24"/>
          <w:szCs w:val="24"/>
          <w:shd w:val="clear" w:color="auto" w:fill="FFFFFF"/>
        </w:rPr>
        <w:t xml:space="preserve">ecibido mediante oficio de fecha </w:t>
      </w:r>
      <w:r w:rsidRPr="0098574C">
        <w:rPr>
          <w:rFonts w:ascii="Arial" w:hAnsi="Arial" w:cs="Arial"/>
          <w:sz w:val="24"/>
          <w:szCs w:val="24"/>
          <w:highlight w:val="yellow"/>
          <w:shd w:val="clear" w:color="auto" w:fill="FFFFFF"/>
        </w:rPr>
        <w:t>XXX</w:t>
      </w:r>
      <w:r w:rsidR="00FA5170" w:rsidRPr="0098574C">
        <w:rPr>
          <w:rFonts w:ascii="Arial" w:hAnsi="Arial" w:cs="Arial"/>
          <w:sz w:val="24"/>
          <w:szCs w:val="24"/>
          <w:shd w:val="clear" w:color="auto" w:fill="FFFFFF"/>
        </w:rPr>
        <w:t xml:space="preserve"> de mayo de 2022</w:t>
      </w:r>
      <w:r w:rsidR="0001621A" w:rsidRPr="0098574C">
        <w:rPr>
          <w:rFonts w:ascii="Arial" w:hAnsi="Arial" w:cs="Arial"/>
          <w:sz w:val="24"/>
          <w:szCs w:val="24"/>
          <w:shd w:val="clear" w:color="auto" w:fill="FFFFFF"/>
        </w:rPr>
        <w:t>, que fue remitido al</w:t>
      </w:r>
      <w:r w:rsidRPr="0098574C">
        <w:rPr>
          <w:rFonts w:ascii="Arial" w:hAnsi="Arial" w:cs="Arial"/>
          <w:sz w:val="24"/>
          <w:szCs w:val="24"/>
          <w:shd w:val="clear" w:color="auto" w:fill="FFFFFF"/>
        </w:rPr>
        <w:t xml:space="preserve"> correo electrónico de la Notaría </w:t>
      </w:r>
      <w:r w:rsidRPr="0098574C">
        <w:rPr>
          <w:rFonts w:ascii="Arial" w:hAnsi="Arial" w:cs="Arial"/>
          <w:sz w:val="24"/>
          <w:szCs w:val="24"/>
          <w:highlight w:val="yellow"/>
          <w:shd w:val="clear" w:color="auto" w:fill="FFFFFF"/>
        </w:rPr>
        <w:t>XXXX</w:t>
      </w:r>
      <w:r w:rsidRPr="0098574C">
        <w:rPr>
          <w:rFonts w:ascii="Arial" w:hAnsi="Arial" w:cs="Arial"/>
          <w:sz w:val="24"/>
          <w:szCs w:val="24"/>
          <w:shd w:val="clear" w:color="auto" w:fill="FFFFFF"/>
        </w:rPr>
        <w:t xml:space="preserve">, el </w:t>
      </w:r>
      <w:r w:rsidR="0001621A" w:rsidRPr="0098574C">
        <w:rPr>
          <w:rFonts w:ascii="Arial" w:hAnsi="Arial" w:cs="Arial"/>
          <w:sz w:val="24"/>
          <w:szCs w:val="24"/>
          <w:shd w:val="clear" w:color="auto" w:fill="FFFFFF"/>
        </w:rPr>
        <w:t>cual,</w:t>
      </w:r>
      <w:r w:rsidR="002F3F22" w:rsidRPr="0098574C">
        <w:rPr>
          <w:rFonts w:ascii="Arial" w:hAnsi="Arial" w:cs="Arial"/>
          <w:sz w:val="24"/>
          <w:szCs w:val="24"/>
          <w:shd w:val="clear" w:color="auto" w:fill="FFFFFF"/>
        </w:rPr>
        <w:t xml:space="preserve"> no </w:t>
      </w:r>
      <w:r w:rsidR="00214F88" w:rsidRPr="0098574C">
        <w:rPr>
          <w:rFonts w:ascii="Arial" w:hAnsi="Arial" w:cs="Arial"/>
          <w:sz w:val="24"/>
          <w:szCs w:val="24"/>
          <w:shd w:val="clear" w:color="auto" w:fill="FFFFFF"/>
        </w:rPr>
        <w:t>obstante,</w:t>
      </w:r>
      <w:r w:rsidR="002F3F22" w:rsidRPr="0098574C">
        <w:rPr>
          <w:rFonts w:ascii="Arial" w:hAnsi="Arial" w:cs="Arial"/>
          <w:sz w:val="24"/>
          <w:szCs w:val="24"/>
          <w:shd w:val="clear" w:color="auto" w:fill="FFFFFF"/>
        </w:rPr>
        <w:t xml:space="preserve"> su improcedencia y</w:t>
      </w:r>
      <w:r w:rsidRPr="0098574C">
        <w:rPr>
          <w:rFonts w:ascii="Arial" w:hAnsi="Arial" w:cs="Arial"/>
          <w:sz w:val="24"/>
          <w:szCs w:val="24"/>
          <w:shd w:val="clear" w:color="auto" w:fill="FFFFFF"/>
        </w:rPr>
        <w:t xml:space="preserve"> </w:t>
      </w:r>
      <w:r w:rsidR="0001621A" w:rsidRPr="0098574C">
        <w:rPr>
          <w:rFonts w:ascii="Arial" w:hAnsi="Arial" w:cs="Arial"/>
          <w:sz w:val="24"/>
          <w:szCs w:val="24"/>
          <w:shd w:val="clear" w:color="auto" w:fill="FFFFFF"/>
        </w:rPr>
        <w:t>encontrándome dentro de los términos establecidos en la Ley</w:t>
      </w:r>
      <w:r w:rsidR="00D42BB5" w:rsidRPr="0098574C">
        <w:rPr>
          <w:rFonts w:ascii="Arial" w:hAnsi="Arial" w:cs="Arial"/>
          <w:sz w:val="24"/>
          <w:szCs w:val="24"/>
          <w:shd w:val="clear" w:color="auto" w:fill="FFFFFF"/>
        </w:rPr>
        <w:t>,</w:t>
      </w:r>
      <w:r w:rsidR="0001621A" w:rsidRPr="0098574C">
        <w:rPr>
          <w:rFonts w:ascii="Arial" w:hAnsi="Arial" w:cs="Arial"/>
          <w:sz w:val="24"/>
          <w:szCs w:val="24"/>
          <w:shd w:val="clear" w:color="auto" w:fill="FFFFFF"/>
        </w:rPr>
        <w:t xml:space="preserve"> me permito dar respuesta a cada uno de los puntos en el orden en que fueron formulados previas las siguientes</w:t>
      </w:r>
    </w:p>
    <w:p w14:paraId="1995C1E6" w14:textId="77777777" w:rsidR="0001621A" w:rsidRPr="0098574C" w:rsidRDefault="0001621A" w:rsidP="00A3742F">
      <w:pPr>
        <w:jc w:val="both"/>
        <w:rPr>
          <w:rFonts w:ascii="Arial" w:hAnsi="Arial" w:cs="Arial"/>
          <w:sz w:val="24"/>
          <w:szCs w:val="24"/>
          <w:shd w:val="clear" w:color="auto" w:fill="FFFFFF"/>
        </w:rPr>
      </w:pPr>
    </w:p>
    <w:p w14:paraId="18C475EA" w14:textId="2AAC73E2" w:rsidR="00225414" w:rsidRPr="0098574C" w:rsidRDefault="0001621A" w:rsidP="0001621A">
      <w:pPr>
        <w:pStyle w:val="Prrafodelista"/>
        <w:numPr>
          <w:ilvl w:val="0"/>
          <w:numId w:val="2"/>
        </w:numPr>
        <w:jc w:val="center"/>
        <w:rPr>
          <w:rFonts w:ascii="Arial" w:hAnsi="Arial" w:cs="Arial"/>
          <w:b/>
          <w:bCs/>
          <w:sz w:val="24"/>
          <w:szCs w:val="24"/>
          <w:shd w:val="clear" w:color="auto" w:fill="FFFFFF"/>
        </w:rPr>
      </w:pPr>
      <w:r w:rsidRPr="0098574C">
        <w:rPr>
          <w:rFonts w:ascii="Arial" w:hAnsi="Arial" w:cs="Arial"/>
          <w:b/>
          <w:bCs/>
          <w:sz w:val="24"/>
          <w:szCs w:val="24"/>
          <w:shd w:val="clear" w:color="auto" w:fill="FFFFFF"/>
        </w:rPr>
        <w:t>CONSIDERACIONES:</w:t>
      </w:r>
    </w:p>
    <w:p w14:paraId="0A04E989" w14:textId="255ECB7D" w:rsidR="003A5FB0" w:rsidRPr="0098574C" w:rsidRDefault="003A5FB0" w:rsidP="0052507C">
      <w:pPr>
        <w:jc w:val="both"/>
        <w:rPr>
          <w:rFonts w:ascii="Arial" w:hAnsi="Arial" w:cs="Arial"/>
          <w:sz w:val="24"/>
          <w:szCs w:val="24"/>
        </w:rPr>
      </w:pPr>
    </w:p>
    <w:p w14:paraId="40B14544" w14:textId="77777777" w:rsidR="00BE6A3D" w:rsidRPr="0098574C" w:rsidRDefault="00BE6A3D" w:rsidP="0052507C">
      <w:pPr>
        <w:jc w:val="both"/>
        <w:rPr>
          <w:rFonts w:ascii="Arial" w:hAnsi="Arial" w:cs="Arial"/>
          <w:sz w:val="24"/>
          <w:szCs w:val="24"/>
        </w:rPr>
      </w:pPr>
    </w:p>
    <w:p w14:paraId="5305ECEB" w14:textId="77777777" w:rsidR="00BE6A3D" w:rsidRPr="0098574C" w:rsidRDefault="00BE6A3D" w:rsidP="00BE6A3D">
      <w:pPr>
        <w:jc w:val="both"/>
        <w:rPr>
          <w:rFonts w:ascii="Arial" w:hAnsi="Arial" w:cs="Arial"/>
          <w:i/>
          <w:iCs/>
          <w:sz w:val="24"/>
          <w:szCs w:val="24"/>
        </w:rPr>
      </w:pPr>
      <w:r w:rsidRPr="0098574C">
        <w:rPr>
          <w:rFonts w:ascii="Arial" w:hAnsi="Arial" w:cs="Arial"/>
          <w:sz w:val="24"/>
          <w:szCs w:val="24"/>
        </w:rPr>
        <w:t>El artículo 270 de la Constitución Política señala que, “</w:t>
      </w:r>
      <w:r w:rsidRPr="0098574C">
        <w:rPr>
          <w:rFonts w:ascii="Arial" w:hAnsi="Arial" w:cs="Arial"/>
          <w:i/>
          <w:iCs/>
          <w:sz w:val="24"/>
          <w:szCs w:val="24"/>
        </w:rPr>
        <w:t xml:space="preserve">La ley organizará las formas y los sistemas de participación ciudadana que permitan vigilar </w:t>
      </w:r>
      <w:r w:rsidRPr="0098574C">
        <w:rPr>
          <w:rFonts w:ascii="Arial" w:hAnsi="Arial" w:cs="Arial"/>
          <w:i/>
          <w:iCs/>
          <w:sz w:val="24"/>
          <w:szCs w:val="24"/>
          <w:u w:val="single"/>
        </w:rPr>
        <w:t>la gestión pública</w:t>
      </w:r>
      <w:r w:rsidRPr="0098574C">
        <w:rPr>
          <w:rFonts w:ascii="Arial" w:hAnsi="Arial" w:cs="Arial"/>
          <w:i/>
          <w:iCs/>
          <w:sz w:val="24"/>
          <w:szCs w:val="24"/>
        </w:rPr>
        <w:t xml:space="preserve"> que se cumpla en los diversos niveles administrativos y sus resultados.”</w:t>
      </w:r>
    </w:p>
    <w:p w14:paraId="2782766D" w14:textId="77777777" w:rsidR="00BE6A3D" w:rsidRPr="0098574C" w:rsidRDefault="00BE6A3D" w:rsidP="003A5FB0">
      <w:pPr>
        <w:jc w:val="both"/>
        <w:rPr>
          <w:rStyle w:val="Textoennegrita"/>
          <w:rFonts w:ascii="Arial" w:hAnsi="Arial" w:cs="Arial"/>
          <w:b w:val="0"/>
          <w:bCs w:val="0"/>
          <w:color w:val="000000" w:themeColor="text1"/>
          <w:sz w:val="24"/>
          <w:szCs w:val="24"/>
        </w:rPr>
      </w:pPr>
    </w:p>
    <w:p w14:paraId="64D0BD81" w14:textId="6B188A67" w:rsidR="003A5FB0" w:rsidRPr="0098574C" w:rsidRDefault="00E21524" w:rsidP="003A5FB0">
      <w:pPr>
        <w:jc w:val="both"/>
        <w:rPr>
          <w:rFonts w:ascii="Arial" w:hAnsi="Arial" w:cs="Arial"/>
          <w:color w:val="000000" w:themeColor="text1"/>
          <w:sz w:val="24"/>
          <w:szCs w:val="24"/>
        </w:rPr>
      </w:pPr>
      <w:r w:rsidRPr="0098574C">
        <w:rPr>
          <w:rStyle w:val="Textoennegrita"/>
          <w:rFonts w:ascii="Arial" w:hAnsi="Arial" w:cs="Arial"/>
          <w:b w:val="0"/>
          <w:bCs w:val="0"/>
          <w:color w:val="000000" w:themeColor="text1"/>
          <w:sz w:val="24"/>
          <w:szCs w:val="24"/>
        </w:rPr>
        <w:t xml:space="preserve">El </w:t>
      </w:r>
      <w:r w:rsidR="003A5FB0" w:rsidRPr="0098574C">
        <w:rPr>
          <w:rStyle w:val="Textoennegrita"/>
          <w:rFonts w:ascii="Arial" w:hAnsi="Arial" w:cs="Arial"/>
          <w:b w:val="0"/>
          <w:bCs w:val="0"/>
          <w:color w:val="000000" w:themeColor="text1"/>
          <w:sz w:val="24"/>
          <w:szCs w:val="24"/>
        </w:rPr>
        <w:t>Consejo</w:t>
      </w:r>
      <w:r w:rsidR="00F53B87" w:rsidRPr="0098574C">
        <w:rPr>
          <w:rStyle w:val="Textoennegrita"/>
          <w:rFonts w:ascii="Arial" w:hAnsi="Arial" w:cs="Arial"/>
          <w:b w:val="0"/>
          <w:bCs w:val="0"/>
          <w:color w:val="000000" w:themeColor="text1"/>
          <w:sz w:val="24"/>
          <w:szCs w:val="24"/>
        </w:rPr>
        <w:t xml:space="preserve"> de Estado</w:t>
      </w:r>
      <w:r w:rsidR="003A5FB0" w:rsidRPr="0098574C">
        <w:rPr>
          <w:rStyle w:val="Textoennegrita"/>
          <w:rFonts w:ascii="Arial" w:hAnsi="Arial" w:cs="Arial"/>
          <w:b w:val="0"/>
          <w:bCs w:val="0"/>
          <w:color w:val="000000" w:themeColor="text1"/>
          <w:sz w:val="24"/>
          <w:szCs w:val="24"/>
        </w:rPr>
        <w:t xml:space="preserve"> </w:t>
      </w:r>
      <w:r w:rsidRPr="0098574C">
        <w:rPr>
          <w:rStyle w:val="Textoennegrita"/>
          <w:rFonts w:ascii="Arial" w:hAnsi="Arial" w:cs="Arial"/>
          <w:b w:val="0"/>
          <w:bCs w:val="0"/>
          <w:color w:val="000000" w:themeColor="text1"/>
          <w:sz w:val="24"/>
          <w:szCs w:val="24"/>
        </w:rPr>
        <w:t>señalo que</w:t>
      </w:r>
      <w:r w:rsidR="003A5FB0" w:rsidRPr="0098574C">
        <w:rPr>
          <w:rFonts w:ascii="Arial" w:hAnsi="Arial" w:cs="Arial"/>
          <w:color w:val="000000" w:themeColor="text1"/>
          <w:sz w:val="24"/>
          <w:szCs w:val="24"/>
        </w:rPr>
        <w:t xml:space="preserve"> </w:t>
      </w:r>
      <w:r w:rsidR="003A5FB0" w:rsidRPr="0098574C">
        <w:rPr>
          <w:rFonts w:ascii="Arial" w:hAnsi="Arial" w:cs="Arial"/>
          <w:i/>
          <w:iCs/>
          <w:color w:val="000000" w:themeColor="text1"/>
          <w:sz w:val="24"/>
          <w:szCs w:val="24"/>
          <w:shd w:val="clear" w:color="auto" w:fill="FFFFFF"/>
        </w:rPr>
        <w:t xml:space="preserve">“Las veedurías ciudadanas son organismos de control ciudadano que representan a la sociedad ante las entidades públicas, para vigilar la gestión de éstas en cuanto a </w:t>
      </w:r>
      <w:r w:rsidR="003A5FB0" w:rsidRPr="0098574C">
        <w:rPr>
          <w:rFonts w:ascii="Arial" w:hAnsi="Arial" w:cs="Arial"/>
          <w:i/>
          <w:iCs/>
          <w:color w:val="000000" w:themeColor="text1"/>
          <w:sz w:val="24"/>
          <w:szCs w:val="24"/>
          <w:u w:val="single"/>
          <w:shd w:val="clear" w:color="auto" w:fill="FFFFFF"/>
        </w:rPr>
        <w:t>los programas, proyectos y contratos que realicen en desarrollo de sus funciones, para salvaguardar el patrimonio del Estado y para evitar la corrupción en dichas entidades;</w:t>
      </w:r>
      <w:r w:rsidR="003A5FB0" w:rsidRPr="0098574C">
        <w:rPr>
          <w:rFonts w:ascii="Arial" w:hAnsi="Arial" w:cs="Arial"/>
          <w:i/>
          <w:iCs/>
          <w:color w:val="000000" w:themeColor="text1"/>
          <w:sz w:val="24"/>
          <w:szCs w:val="24"/>
          <w:shd w:val="clear" w:color="auto" w:fill="FFFFFF"/>
        </w:rPr>
        <w:t xml:space="preserve"> constituyen una herramienta de vigilancia y control de la ciudadanía sobre el Estado, que permite vigilar, conocer, monitorear, opinar, presentar observaciones frente a la gestión de la administración</w:t>
      </w:r>
      <w:r w:rsidRPr="0098574C">
        <w:rPr>
          <w:rFonts w:ascii="Arial" w:hAnsi="Arial" w:cs="Arial"/>
          <w:i/>
          <w:iCs/>
          <w:color w:val="000000" w:themeColor="text1"/>
          <w:sz w:val="24"/>
          <w:szCs w:val="24"/>
          <w:shd w:val="clear" w:color="auto" w:fill="FFFFFF"/>
        </w:rPr>
        <w:t xml:space="preserve"> (…)”</w:t>
      </w:r>
      <w:r w:rsidR="003A5FB0" w:rsidRPr="0098574C">
        <w:rPr>
          <w:rFonts w:ascii="Arial" w:hAnsi="Arial" w:cs="Arial"/>
          <w:i/>
          <w:iCs/>
          <w:color w:val="000000" w:themeColor="text1"/>
          <w:sz w:val="24"/>
          <w:szCs w:val="24"/>
          <w:shd w:val="clear" w:color="auto" w:fill="FFFFFF"/>
        </w:rPr>
        <w:t>.</w:t>
      </w:r>
      <w:r w:rsidR="00E926AD" w:rsidRPr="0098574C">
        <w:rPr>
          <w:rStyle w:val="Refdenotaalpie"/>
          <w:rFonts w:ascii="Arial" w:hAnsi="Arial" w:cs="Arial"/>
          <w:i/>
          <w:iCs/>
          <w:color w:val="000000" w:themeColor="text1"/>
          <w:sz w:val="24"/>
          <w:szCs w:val="24"/>
          <w:shd w:val="clear" w:color="auto" w:fill="FFFFFF"/>
        </w:rPr>
        <w:footnoteReference w:id="1"/>
      </w:r>
      <w:r w:rsidR="003A5FB0" w:rsidRPr="0098574C">
        <w:rPr>
          <w:rFonts w:ascii="Arial" w:hAnsi="Arial" w:cs="Arial"/>
          <w:i/>
          <w:iCs/>
          <w:color w:val="000000" w:themeColor="text1"/>
          <w:sz w:val="24"/>
          <w:szCs w:val="24"/>
          <w:shd w:val="clear" w:color="auto" w:fill="FFFFFF"/>
        </w:rPr>
        <w:t xml:space="preserve"> </w:t>
      </w:r>
    </w:p>
    <w:p w14:paraId="33C35AF7" w14:textId="77777777" w:rsidR="003A5FB0" w:rsidRPr="0098574C" w:rsidRDefault="003A5FB0" w:rsidP="0052507C">
      <w:pPr>
        <w:jc w:val="both"/>
        <w:rPr>
          <w:rFonts w:ascii="Arial" w:hAnsi="Arial" w:cs="Arial"/>
          <w:sz w:val="24"/>
          <w:szCs w:val="24"/>
        </w:rPr>
      </w:pPr>
    </w:p>
    <w:p w14:paraId="2F853949" w14:textId="495D6BED" w:rsidR="004D6209" w:rsidRPr="0098574C" w:rsidRDefault="004D6209" w:rsidP="0052507C">
      <w:pPr>
        <w:jc w:val="both"/>
        <w:rPr>
          <w:rFonts w:ascii="Arial" w:hAnsi="Arial" w:cs="Arial"/>
          <w:i/>
          <w:iCs/>
          <w:sz w:val="24"/>
          <w:szCs w:val="24"/>
        </w:rPr>
      </w:pPr>
      <w:r w:rsidRPr="0098574C">
        <w:rPr>
          <w:rFonts w:ascii="Arial" w:hAnsi="Arial" w:cs="Arial"/>
          <w:sz w:val="24"/>
          <w:szCs w:val="24"/>
        </w:rPr>
        <w:t>E</w:t>
      </w:r>
      <w:r w:rsidR="00E21524" w:rsidRPr="0098574C">
        <w:rPr>
          <w:rFonts w:ascii="Arial" w:hAnsi="Arial" w:cs="Arial"/>
          <w:sz w:val="24"/>
          <w:szCs w:val="24"/>
        </w:rPr>
        <w:t>n igual sentido</w:t>
      </w:r>
      <w:r w:rsidR="00FA57E4" w:rsidRPr="0098574C">
        <w:rPr>
          <w:rFonts w:ascii="Arial" w:hAnsi="Arial" w:cs="Arial"/>
          <w:sz w:val="24"/>
          <w:szCs w:val="24"/>
        </w:rPr>
        <w:t>,</w:t>
      </w:r>
      <w:r w:rsidR="00E21524" w:rsidRPr="0098574C">
        <w:rPr>
          <w:rFonts w:ascii="Arial" w:hAnsi="Arial" w:cs="Arial"/>
          <w:sz w:val="24"/>
          <w:szCs w:val="24"/>
        </w:rPr>
        <w:t xml:space="preserve"> en el</w:t>
      </w:r>
      <w:r w:rsidRPr="0098574C">
        <w:rPr>
          <w:rFonts w:ascii="Arial" w:hAnsi="Arial" w:cs="Arial"/>
          <w:sz w:val="24"/>
          <w:szCs w:val="24"/>
        </w:rPr>
        <w:t xml:space="preserve"> Artículo 5</w:t>
      </w:r>
      <w:r w:rsidR="00072F4F" w:rsidRPr="0098574C">
        <w:rPr>
          <w:rFonts w:ascii="Arial" w:hAnsi="Arial" w:cs="Arial"/>
          <w:sz w:val="24"/>
          <w:szCs w:val="24"/>
        </w:rPr>
        <w:t>° de la Ley 850 de 2003</w:t>
      </w:r>
      <w:r w:rsidR="00E21524" w:rsidRPr="0098574C">
        <w:rPr>
          <w:rFonts w:ascii="Arial" w:hAnsi="Arial" w:cs="Arial"/>
          <w:sz w:val="24"/>
          <w:szCs w:val="24"/>
        </w:rPr>
        <w:t xml:space="preserve"> se dispuso</w:t>
      </w:r>
      <w:r w:rsidR="00FF2E26" w:rsidRPr="0098574C">
        <w:rPr>
          <w:rFonts w:ascii="Arial" w:hAnsi="Arial" w:cs="Arial"/>
          <w:sz w:val="24"/>
          <w:szCs w:val="24"/>
        </w:rPr>
        <w:t xml:space="preserve">: </w:t>
      </w:r>
      <w:r w:rsidR="003670A1" w:rsidRPr="0098574C">
        <w:rPr>
          <w:rFonts w:ascii="Arial" w:hAnsi="Arial" w:cs="Arial"/>
          <w:sz w:val="24"/>
          <w:szCs w:val="24"/>
        </w:rPr>
        <w:t>“</w:t>
      </w:r>
      <w:r w:rsidRPr="0098574C">
        <w:rPr>
          <w:rFonts w:ascii="Arial" w:hAnsi="Arial" w:cs="Arial"/>
          <w:b/>
          <w:bCs/>
          <w:sz w:val="24"/>
          <w:szCs w:val="24"/>
        </w:rPr>
        <w:t>Ámbito del ejercicio de la vigilancia</w:t>
      </w:r>
      <w:r w:rsidRPr="0098574C">
        <w:rPr>
          <w:rFonts w:ascii="Arial" w:hAnsi="Arial" w:cs="Arial"/>
          <w:i/>
          <w:iCs/>
          <w:sz w:val="24"/>
          <w:szCs w:val="24"/>
        </w:rPr>
        <w:t xml:space="preserve">. Las veedurías ejercerán la vigilancia en el ámbito nacional, departamental, municipal, y demás entidades territoriales, sobre la gestión pública y los resultados de la misma, trátese de organismos, entidades o dependencias del sector central o descentralizado de la administración pública; en </w:t>
      </w:r>
      <w:r w:rsidRPr="0098574C">
        <w:rPr>
          <w:rFonts w:ascii="Arial" w:hAnsi="Arial" w:cs="Arial"/>
          <w:i/>
          <w:iCs/>
          <w:sz w:val="24"/>
          <w:szCs w:val="24"/>
        </w:rPr>
        <w:lastRenderedPageBreak/>
        <w:t xml:space="preserve">el caso de organismos descentralizados creados en forma indirecta, o de empresas con participación del capital privado y público </w:t>
      </w:r>
      <w:r w:rsidRPr="0098574C">
        <w:rPr>
          <w:rFonts w:ascii="Arial" w:hAnsi="Arial" w:cs="Arial"/>
          <w:i/>
          <w:iCs/>
          <w:sz w:val="24"/>
          <w:szCs w:val="24"/>
          <w:u w:val="single"/>
        </w:rPr>
        <w:t>tendrán derecho a ejercer la vigilancia sobre los recursos de origen público</w:t>
      </w:r>
      <w:r w:rsidR="00D42BB5" w:rsidRPr="0098574C">
        <w:rPr>
          <w:rFonts w:ascii="Arial" w:hAnsi="Arial" w:cs="Arial"/>
          <w:i/>
          <w:iCs/>
          <w:sz w:val="24"/>
          <w:szCs w:val="24"/>
        </w:rPr>
        <w:t xml:space="preserve"> (…)”</w:t>
      </w:r>
    </w:p>
    <w:p w14:paraId="29C07CBF" w14:textId="2E62174D" w:rsidR="004D6209" w:rsidRPr="0098574C" w:rsidRDefault="004D6209" w:rsidP="0052507C">
      <w:pPr>
        <w:jc w:val="both"/>
        <w:rPr>
          <w:rFonts w:ascii="Arial" w:hAnsi="Arial" w:cs="Arial"/>
          <w:i/>
          <w:iCs/>
          <w:sz w:val="24"/>
          <w:szCs w:val="24"/>
        </w:rPr>
      </w:pPr>
    </w:p>
    <w:p w14:paraId="0424A2DE" w14:textId="2A97FE85" w:rsidR="003670A1" w:rsidRPr="0098574C" w:rsidRDefault="0090548B" w:rsidP="0052507C">
      <w:pPr>
        <w:jc w:val="both"/>
        <w:rPr>
          <w:rFonts w:ascii="Arial" w:hAnsi="Arial" w:cs="Arial"/>
          <w:i/>
          <w:iCs/>
          <w:sz w:val="24"/>
          <w:szCs w:val="24"/>
        </w:rPr>
      </w:pPr>
      <w:r w:rsidRPr="0098574C">
        <w:rPr>
          <w:rFonts w:ascii="Arial" w:hAnsi="Arial" w:cs="Arial"/>
          <w:sz w:val="24"/>
          <w:szCs w:val="24"/>
        </w:rPr>
        <w:t>La Corte Constitucional ha sido clara respecto a este mecanismo de participación ciudadanía, afirmando mediante la sentencia C-438 de 2017, lo siguiente</w:t>
      </w:r>
      <w:r w:rsidRPr="0098574C">
        <w:rPr>
          <w:rFonts w:ascii="Arial" w:hAnsi="Arial" w:cs="Arial"/>
          <w:i/>
          <w:iCs/>
          <w:sz w:val="24"/>
          <w:szCs w:val="24"/>
        </w:rPr>
        <w:t xml:space="preserve">: “(i) es razonable que la vigilancia de las veedurías ciudadanas </w:t>
      </w:r>
      <w:r w:rsidRPr="0098574C">
        <w:rPr>
          <w:rFonts w:ascii="Arial" w:hAnsi="Arial" w:cs="Arial"/>
          <w:i/>
          <w:iCs/>
          <w:sz w:val="24"/>
          <w:szCs w:val="24"/>
          <w:u w:val="single"/>
        </w:rPr>
        <w:t>se restrinja a los recursos públicos</w:t>
      </w:r>
      <w:r w:rsidRPr="0098574C">
        <w:rPr>
          <w:rFonts w:ascii="Arial" w:hAnsi="Arial" w:cs="Arial"/>
          <w:i/>
          <w:iCs/>
          <w:sz w:val="24"/>
          <w:szCs w:val="24"/>
        </w:rPr>
        <w:t>, pues no resulta admisible que su labor interfiera con la autonomía y la libertad de empresa de los particulares; (…) (</w:t>
      </w:r>
      <w:proofErr w:type="spellStart"/>
      <w:r w:rsidRPr="0098574C">
        <w:rPr>
          <w:rFonts w:ascii="Arial" w:hAnsi="Arial" w:cs="Arial"/>
          <w:i/>
          <w:iCs/>
          <w:sz w:val="24"/>
          <w:szCs w:val="24"/>
        </w:rPr>
        <w:t>iv</w:t>
      </w:r>
      <w:proofErr w:type="spellEnd"/>
      <w:r w:rsidRPr="0098574C">
        <w:rPr>
          <w:rFonts w:ascii="Arial" w:hAnsi="Arial" w:cs="Arial"/>
          <w:i/>
          <w:iCs/>
          <w:sz w:val="24"/>
          <w:szCs w:val="24"/>
          <w:u w:val="single"/>
        </w:rPr>
        <w:t>) es razonable que a las veedurías les apliquen las restricciones para acceder a información reservada, de conformidad con la ley</w:t>
      </w:r>
      <w:r w:rsidRPr="0098574C">
        <w:rPr>
          <w:rFonts w:ascii="Arial" w:hAnsi="Arial" w:cs="Arial"/>
          <w:i/>
          <w:iCs/>
          <w:sz w:val="24"/>
          <w:szCs w:val="24"/>
        </w:rPr>
        <w:t>”.</w:t>
      </w:r>
      <w:r w:rsidR="00EC50E6" w:rsidRPr="0098574C">
        <w:rPr>
          <w:rFonts w:ascii="Arial" w:hAnsi="Arial" w:cs="Arial"/>
          <w:i/>
          <w:iCs/>
          <w:sz w:val="24"/>
          <w:szCs w:val="24"/>
        </w:rPr>
        <w:t>.”</w:t>
      </w:r>
      <w:r w:rsidR="00EC50E6" w:rsidRPr="0098574C">
        <w:rPr>
          <w:rStyle w:val="Refdenotaalpie"/>
          <w:rFonts w:ascii="Arial" w:hAnsi="Arial" w:cs="Arial"/>
          <w:i/>
          <w:iCs/>
          <w:sz w:val="24"/>
          <w:szCs w:val="24"/>
        </w:rPr>
        <w:footnoteReference w:id="2"/>
      </w:r>
    </w:p>
    <w:p w14:paraId="1C72632B" w14:textId="77777777" w:rsidR="00072F4F" w:rsidRPr="0098574C" w:rsidRDefault="00072F4F" w:rsidP="0052507C">
      <w:pPr>
        <w:jc w:val="both"/>
        <w:rPr>
          <w:rFonts w:ascii="Arial" w:hAnsi="Arial" w:cs="Arial"/>
          <w:sz w:val="24"/>
          <w:szCs w:val="24"/>
        </w:rPr>
      </w:pPr>
    </w:p>
    <w:p w14:paraId="6F1E1A84" w14:textId="20DFC342" w:rsidR="00FD0837" w:rsidRPr="0098574C" w:rsidRDefault="00FD0837" w:rsidP="00FD0837">
      <w:pPr>
        <w:widowControl/>
        <w:autoSpaceDE/>
        <w:autoSpaceDN/>
        <w:spacing w:line="276" w:lineRule="auto"/>
        <w:jc w:val="both"/>
        <w:rPr>
          <w:rFonts w:ascii="Arial" w:hAnsi="Arial" w:cs="Arial"/>
          <w:sz w:val="24"/>
          <w:szCs w:val="24"/>
        </w:rPr>
      </w:pPr>
      <w:r w:rsidRPr="0098574C">
        <w:rPr>
          <w:rFonts w:ascii="Arial" w:hAnsi="Arial" w:cs="Arial"/>
          <w:sz w:val="24"/>
          <w:szCs w:val="24"/>
        </w:rPr>
        <w:t>La Ley 734 de 2002 en su artículo 53 establece que: “</w:t>
      </w:r>
      <w:r w:rsidRPr="0098574C">
        <w:rPr>
          <w:rFonts w:ascii="Arial" w:hAnsi="Arial" w:cs="Arial"/>
          <w:i/>
          <w:iCs/>
          <w:sz w:val="24"/>
          <w:szCs w:val="24"/>
        </w:rPr>
        <w:t>Se entiende que ejerce función pública aquel particular que, por disposición legal, acto administrativo, convenio o contrato, realice funciones administrativas o actividades propias de los órganos del Estado, que permiten el cumplimiento de los cometidos estatales, así como el que ejerce la facultad sancionadora del Estado</w:t>
      </w:r>
      <w:r w:rsidRPr="0098574C">
        <w:rPr>
          <w:rFonts w:ascii="Arial" w:hAnsi="Arial" w:cs="Arial"/>
          <w:sz w:val="24"/>
          <w:szCs w:val="24"/>
        </w:rPr>
        <w:t>”</w:t>
      </w:r>
      <w:r w:rsidRPr="0098574C">
        <w:rPr>
          <w:rFonts w:ascii="Arial" w:hAnsi="Arial" w:cs="Arial"/>
          <w:color w:val="000000"/>
          <w:sz w:val="24"/>
          <w:szCs w:val="24"/>
        </w:rPr>
        <w:t xml:space="preserve">. </w:t>
      </w:r>
      <w:r w:rsidRPr="0098574C">
        <w:rPr>
          <w:rFonts w:ascii="Arial" w:hAnsi="Arial" w:cs="Arial"/>
          <w:sz w:val="24"/>
          <w:szCs w:val="24"/>
        </w:rPr>
        <w:t>En el presente caso, los Notarios desempeñan una función que en principio corresponde al Estado, no obstante, éste acude al apoyo de particulares para el desempeño de ciertas funciones, como es el de la dación de fe</w:t>
      </w:r>
      <w:r w:rsidR="008B5EB4" w:rsidRPr="0098574C">
        <w:rPr>
          <w:rFonts w:ascii="Arial" w:hAnsi="Arial" w:cs="Arial"/>
          <w:sz w:val="24"/>
          <w:szCs w:val="24"/>
        </w:rPr>
        <w:t xml:space="preserve"> pública</w:t>
      </w:r>
      <w:r w:rsidRPr="0098574C">
        <w:rPr>
          <w:rFonts w:ascii="Arial" w:hAnsi="Arial" w:cs="Arial"/>
          <w:sz w:val="24"/>
          <w:szCs w:val="24"/>
        </w:rPr>
        <w:t xml:space="preserve"> notarial.</w:t>
      </w:r>
    </w:p>
    <w:p w14:paraId="70EC1E48" w14:textId="77777777" w:rsidR="00FD0837" w:rsidRPr="0098574C" w:rsidRDefault="00FD0837" w:rsidP="00FD0837">
      <w:pPr>
        <w:pStyle w:val="Prrafodelista"/>
        <w:spacing w:line="276" w:lineRule="auto"/>
        <w:ind w:left="567"/>
        <w:jc w:val="both"/>
        <w:rPr>
          <w:rFonts w:ascii="Arial" w:hAnsi="Arial" w:cs="Arial"/>
          <w:sz w:val="24"/>
          <w:szCs w:val="24"/>
        </w:rPr>
      </w:pPr>
    </w:p>
    <w:p w14:paraId="54FDF4E7" w14:textId="04F4260C" w:rsidR="008B5EB4" w:rsidRPr="0098574C" w:rsidRDefault="00FD0837" w:rsidP="008B5EB4">
      <w:pPr>
        <w:widowControl/>
        <w:autoSpaceDE/>
        <w:autoSpaceDN/>
        <w:spacing w:line="276" w:lineRule="auto"/>
        <w:jc w:val="both"/>
        <w:rPr>
          <w:rFonts w:ascii="Arial" w:hAnsi="Arial" w:cs="Arial"/>
          <w:sz w:val="24"/>
          <w:szCs w:val="24"/>
        </w:rPr>
      </w:pPr>
      <w:r w:rsidRPr="0098574C">
        <w:rPr>
          <w:rFonts w:ascii="Arial" w:hAnsi="Arial" w:cs="Arial"/>
          <w:sz w:val="24"/>
          <w:szCs w:val="24"/>
        </w:rPr>
        <w:t xml:space="preserve">A pesar de lo anterior, vale la pena destacar que los </w:t>
      </w:r>
      <w:r w:rsidR="008B5EB4" w:rsidRPr="0098574C">
        <w:rPr>
          <w:rFonts w:ascii="Arial" w:hAnsi="Arial" w:cs="Arial"/>
          <w:sz w:val="24"/>
          <w:szCs w:val="24"/>
        </w:rPr>
        <w:t>N</w:t>
      </w:r>
      <w:r w:rsidRPr="0098574C">
        <w:rPr>
          <w:rFonts w:ascii="Arial" w:hAnsi="Arial" w:cs="Arial"/>
          <w:sz w:val="24"/>
          <w:szCs w:val="24"/>
        </w:rPr>
        <w:t xml:space="preserve">otarios no son servidores públicos. Así lo ha establecido claramente la Corte Constitucional en su sentencia C-029 del 2019, aclarando que los </w:t>
      </w:r>
      <w:r w:rsidR="008B5EB4" w:rsidRPr="0098574C">
        <w:rPr>
          <w:rFonts w:ascii="Arial" w:hAnsi="Arial" w:cs="Arial"/>
          <w:sz w:val="24"/>
          <w:szCs w:val="24"/>
        </w:rPr>
        <w:t>N</w:t>
      </w:r>
      <w:r w:rsidRPr="0098574C">
        <w:rPr>
          <w:rFonts w:ascii="Arial" w:hAnsi="Arial" w:cs="Arial"/>
          <w:sz w:val="24"/>
          <w:szCs w:val="24"/>
        </w:rPr>
        <w:t>otarios son: “</w:t>
      </w:r>
      <w:r w:rsidRPr="0098574C">
        <w:rPr>
          <w:rFonts w:ascii="Arial" w:hAnsi="Arial" w:cs="Arial"/>
          <w:i/>
          <w:iCs/>
          <w:sz w:val="24"/>
          <w:szCs w:val="24"/>
        </w:rPr>
        <w:t xml:space="preserve">particulares a los que se les ha asignado el desempeño de una función pública, y aunque objetivamente su situación ofrece similitudes con los empleados estatales, como la exigencia de neutralidad en sus actuaciones, </w:t>
      </w:r>
      <w:r w:rsidRPr="0098574C">
        <w:rPr>
          <w:rFonts w:ascii="Arial" w:hAnsi="Arial" w:cs="Arial"/>
          <w:i/>
          <w:iCs/>
          <w:sz w:val="24"/>
          <w:szCs w:val="24"/>
          <w:u w:val="single"/>
        </w:rPr>
        <w:t>técnicamente no es válido sostener que por tal circunstancia adquieran la condición de servidores públicos</w:t>
      </w:r>
      <w:r w:rsidRPr="0098574C">
        <w:rPr>
          <w:rFonts w:ascii="Arial" w:hAnsi="Arial" w:cs="Arial"/>
          <w:sz w:val="24"/>
          <w:szCs w:val="24"/>
        </w:rPr>
        <w:t xml:space="preserve">.” </w:t>
      </w:r>
    </w:p>
    <w:p w14:paraId="1CF5F2D1" w14:textId="22711099" w:rsidR="008B5EB4" w:rsidRPr="0098574C" w:rsidRDefault="008B5EB4" w:rsidP="008B5EB4">
      <w:pPr>
        <w:widowControl/>
        <w:autoSpaceDE/>
        <w:autoSpaceDN/>
        <w:spacing w:line="276" w:lineRule="auto"/>
        <w:jc w:val="both"/>
        <w:rPr>
          <w:rFonts w:ascii="Arial" w:hAnsi="Arial" w:cs="Arial"/>
          <w:sz w:val="24"/>
          <w:szCs w:val="24"/>
        </w:rPr>
      </w:pPr>
    </w:p>
    <w:p w14:paraId="3CC99DCE" w14:textId="7272A919" w:rsidR="008B5EB4" w:rsidRPr="0098574C" w:rsidRDefault="008B5EB4" w:rsidP="008B5EB4">
      <w:pPr>
        <w:pStyle w:val="NormalWeb"/>
        <w:spacing w:before="0" w:beforeAutospacing="0" w:after="0" w:afterAutospacing="0" w:line="254" w:lineRule="atLeast"/>
        <w:jc w:val="both"/>
        <w:rPr>
          <w:rStyle w:val="Textoennegrita"/>
          <w:rFonts w:ascii="Arial" w:eastAsia="Cambria" w:hAnsi="Arial" w:cs="Arial"/>
          <w:b w:val="0"/>
          <w:bCs w:val="0"/>
          <w:color w:val="000000"/>
        </w:rPr>
      </w:pPr>
      <w:r w:rsidRPr="0098574C">
        <w:rPr>
          <w:rStyle w:val="Textoennegrita"/>
          <w:rFonts w:ascii="Arial" w:eastAsia="Cambria" w:hAnsi="Arial" w:cs="Arial"/>
          <w:b w:val="0"/>
          <w:bCs w:val="0"/>
          <w:color w:val="000000"/>
          <w:lang w:val="es-ES"/>
        </w:rPr>
        <w:t>De otra parte, e</w:t>
      </w:r>
      <w:r w:rsidRPr="0098574C">
        <w:rPr>
          <w:rStyle w:val="Textoennegrita"/>
          <w:rFonts w:ascii="Arial" w:eastAsia="Cambria" w:hAnsi="Arial" w:cs="Arial"/>
          <w:b w:val="0"/>
          <w:bCs w:val="0"/>
          <w:color w:val="000000"/>
        </w:rPr>
        <w:t>l artículo 2 de la ley 29 de 1973 establece que:</w:t>
      </w:r>
      <w:r w:rsidRPr="0098574C">
        <w:rPr>
          <w:rStyle w:val="Textoennegrita"/>
          <w:rFonts w:ascii="Arial" w:eastAsia="Cambria" w:hAnsi="Arial" w:cs="Arial"/>
          <w:b w:val="0"/>
          <w:bCs w:val="0"/>
          <w:i/>
          <w:iCs/>
          <w:color w:val="000000"/>
        </w:rPr>
        <w:t xml:space="preserve"> “</w:t>
      </w:r>
      <w:r w:rsidRPr="0098574C">
        <w:rPr>
          <w:rStyle w:val="Textoennegrita"/>
          <w:rFonts w:ascii="Arial" w:eastAsia="Cambria" w:hAnsi="Arial" w:cs="Arial"/>
          <w:b w:val="0"/>
          <w:bCs w:val="0"/>
          <w:i/>
          <w:iCs/>
          <w:color w:val="000000"/>
          <w:u w:val="single"/>
        </w:rPr>
        <w:t>La remuneración de los Notarios la constituyen las sumas que reciban de los usuarios por la prestación de sus servicios</w:t>
      </w:r>
      <w:r w:rsidRPr="0098574C">
        <w:rPr>
          <w:rStyle w:val="Textoennegrita"/>
          <w:rFonts w:ascii="Arial" w:eastAsia="Cambria" w:hAnsi="Arial" w:cs="Arial"/>
          <w:b w:val="0"/>
          <w:bCs w:val="0"/>
          <w:i/>
          <w:iCs/>
          <w:color w:val="000000"/>
        </w:rPr>
        <w:t xml:space="preserve">, de acuerdo con las tarifas legales, y por subsidios que les fije el Fondo Nacional del Notariado o la Superintendencia de Notariado y Registro cuando fuere el caso. </w:t>
      </w:r>
      <w:r w:rsidRPr="0098574C">
        <w:rPr>
          <w:rStyle w:val="Textoennegrita"/>
          <w:rFonts w:ascii="Arial" w:eastAsia="Cambria" w:hAnsi="Arial" w:cs="Arial"/>
          <w:b w:val="0"/>
          <w:bCs w:val="0"/>
          <w:i/>
          <w:iCs/>
          <w:color w:val="000000"/>
          <w:u w:val="single"/>
        </w:rPr>
        <w:t>Con esta remuneración los Notarios están obligados a costear y mantener el servicio</w:t>
      </w:r>
      <w:r w:rsidRPr="0098574C">
        <w:rPr>
          <w:rStyle w:val="Textoennegrita"/>
          <w:rFonts w:ascii="Arial" w:eastAsia="Cambria" w:hAnsi="Arial" w:cs="Arial"/>
          <w:b w:val="0"/>
          <w:bCs w:val="0"/>
          <w:i/>
          <w:iCs/>
          <w:color w:val="000000"/>
        </w:rPr>
        <w:t>.”</w:t>
      </w:r>
    </w:p>
    <w:p w14:paraId="6B7ECAE3" w14:textId="297F4E1D" w:rsidR="004754A0" w:rsidRPr="0098574C" w:rsidRDefault="00D2316B" w:rsidP="00A75FFE">
      <w:pPr>
        <w:pStyle w:val="NormalWeb"/>
        <w:shd w:val="clear" w:color="auto" w:fill="FFFFFF"/>
        <w:spacing w:before="0" w:beforeAutospacing="0"/>
        <w:jc w:val="both"/>
        <w:rPr>
          <w:rFonts w:ascii="Arial" w:hAnsi="Arial" w:cs="Arial"/>
          <w:i/>
          <w:iCs/>
        </w:rPr>
      </w:pPr>
      <w:r w:rsidRPr="0098574C">
        <w:rPr>
          <w:rFonts w:ascii="Arial" w:hAnsi="Arial" w:cs="Arial"/>
        </w:rPr>
        <w:t xml:space="preserve">En el artículo 15 de la Constitución Política se señaló: </w:t>
      </w:r>
      <w:r w:rsidRPr="0098574C">
        <w:rPr>
          <w:rFonts w:ascii="Arial" w:hAnsi="Arial" w:cs="Arial"/>
          <w:i/>
          <w:iCs/>
        </w:rPr>
        <w:t>“Todas las personas tienen derecho a su intimidad personal y familiar y a su buen nombre, y el Estado debe respetarlos y hacerlos respetar</w:t>
      </w:r>
      <w:r w:rsidR="007F5763" w:rsidRPr="0098574C">
        <w:rPr>
          <w:rFonts w:ascii="Arial" w:hAnsi="Arial" w:cs="Arial"/>
          <w:i/>
          <w:iCs/>
        </w:rPr>
        <w:t xml:space="preserve"> (…)</w:t>
      </w:r>
      <w:r w:rsidRPr="0098574C">
        <w:rPr>
          <w:rFonts w:ascii="Arial" w:hAnsi="Arial" w:cs="Arial"/>
          <w:i/>
          <w:iCs/>
        </w:rPr>
        <w:t>”</w:t>
      </w:r>
      <w:r w:rsidRPr="0098574C">
        <w:rPr>
          <w:rStyle w:val="Refdenotaalpie"/>
          <w:rFonts w:ascii="Arial" w:hAnsi="Arial" w:cs="Arial"/>
          <w:i/>
          <w:iCs/>
        </w:rPr>
        <w:footnoteReference w:id="3"/>
      </w:r>
    </w:p>
    <w:p w14:paraId="1D4664FD" w14:textId="081A1653" w:rsidR="004754A0" w:rsidRPr="0098574C" w:rsidRDefault="004754A0" w:rsidP="00997BDA">
      <w:pPr>
        <w:jc w:val="both"/>
        <w:rPr>
          <w:rFonts w:ascii="Arial" w:hAnsi="Arial" w:cs="Arial"/>
          <w:i/>
          <w:iCs/>
          <w:sz w:val="24"/>
          <w:szCs w:val="24"/>
        </w:rPr>
      </w:pPr>
      <w:r w:rsidRPr="0098574C">
        <w:rPr>
          <w:rFonts w:ascii="Arial" w:hAnsi="Arial" w:cs="Arial"/>
          <w:sz w:val="24"/>
          <w:szCs w:val="24"/>
        </w:rPr>
        <w:lastRenderedPageBreak/>
        <w:t>En este mismo sentido, la Corte Constitucional ha establecido en su sentencia T-364 del 2018, que la intimidad</w:t>
      </w:r>
      <w:r w:rsidRPr="0098574C">
        <w:rPr>
          <w:rFonts w:ascii="Arial" w:hAnsi="Arial" w:cs="Arial"/>
          <w:i/>
          <w:iCs/>
          <w:sz w:val="24"/>
          <w:szCs w:val="24"/>
        </w:rPr>
        <w:t xml:space="preserve"> “garantiza la preservación de un espacio personal, aislado a la injerencia de otros. De conformidad con la sentencia T-696 de 1996, la intimidad personal es el “área restringida inherente a toda persona o familia, que solamente puede ser penetrada por extraños con el consentimiento de su titular o mediando orden dictada por autoridad competente, en ejercicio de sus funciones y de conformid</w:t>
      </w:r>
      <w:bookmarkStart w:id="0" w:name="_ftnref28"/>
      <w:r w:rsidRPr="0098574C">
        <w:rPr>
          <w:rFonts w:ascii="Arial" w:hAnsi="Arial" w:cs="Arial"/>
          <w:i/>
          <w:iCs/>
          <w:sz w:val="24"/>
          <w:szCs w:val="24"/>
        </w:rPr>
        <w:t>ad con la Constitución y la ley</w:t>
      </w:r>
      <w:bookmarkEnd w:id="0"/>
      <w:r w:rsidRPr="0098574C">
        <w:rPr>
          <w:rFonts w:ascii="Arial" w:hAnsi="Arial" w:cs="Arial"/>
          <w:i/>
          <w:iCs/>
          <w:sz w:val="24"/>
          <w:szCs w:val="24"/>
        </w:rPr>
        <w:t>.”</w:t>
      </w:r>
      <w:r w:rsidR="00E717DB" w:rsidRPr="0098574C">
        <w:rPr>
          <w:rStyle w:val="Refdenotaalpie"/>
          <w:rFonts w:ascii="Arial" w:hAnsi="Arial" w:cs="Arial"/>
          <w:i/>
          <w:iCs/>
          <w:sz w:val="24"/>
          <w:szCs w:val="24"/>
        </w:rPr>
        <w:footnoteReference w:id="4"/>
      </w:r>
    </w:p>
    <w:p w14:paraId="5937EC61" w14:textId="77777777" w:rsidR="00997BDA" w:rsidRPr="0098574C" w:rsidRDefault="00997BDA" w:rsidP="00997BDA">
      <w:pPr>
        <w:pStyle w:val="NormalWeb"/>
        <w:shd w:val="clear" w:color="auto" w:fill="FFFFFF"/>
        <w:spacing w:before="0" w:beforeAutospacing="0"/>
        <w:jc w:val="both"/>
        <w:rPr>
          <w:rStyle w:val="Textoennegrita"/>
          <w:rFonts w:ascii="Arial" w:eastAsia="Cambria" w:hAnsi="Arial" w:cs="Arial"/>
          <w:b w:val="0"/>
          <w:bCs w:val="0"/>
        </w:rPr>
      </w:pPr>
    </w:p>
    <w:p w14:paraId="1821EC15" w14:textId="2D7AC081" w:rsidR="00A75FFE" w:rsidRPr="0098574C" w:rsidRDefault="00A75FFE" w:rsidP="00997BDA">
      <w:pPr>
        <w:pStyle w:val="NormalWeb"/>
        <w:shd w:val="clear" w:color="auto" w:fill="FFFFFF"/>
        <w:spacing w:before="0" w:beforeAutospacing="0"/>
        <w:jc w:val="both"/>
        <w:rPr>
          <w:rFonts w:ascii="Arial" w:hAnsi="Arial" w:cs="Arial"/>
          <w:i/>
          <w:iCs/>
        </w:rPr>
      </w:pPr>
      <w:r w:rsidRPr="0098574C">
        <w:rPr>
          <w:rStyle w:val="Textoennegrita"/>
          <w:rFonts w:ascii="Arial" w:eastAsia="Cambria" w:hAnsi="Arial" w:cs="Arial"/>
          <w:b w:val="0"/>
          <w:bCs w:val="0"/>
        </w:rPr>
        <w:t>E</w:t>
      </w:r>
      <w:r w:rsidR="00C76DEF" w:rsidRPr="0098574C">
        <w:rPr>
          <w:rStyle w:val="Textoennegrita"/>
          <w:rFonts w:ascii="Arial" w:eastAsia="Cambria" w:hAnsi="Arial" w:cs="Arial"/>
          <w:b w:val="0"/>
          <w:bCs w:val="0"/>
        </w:rPr>
        <w:t xml:space="preserve">n </w:t>
      </w:r>
      <w:bookmarkStart w:id="1" w:name="18"/>
      <w:bookmarkEnd w:id="1"/>
      <w:r w:rsidR="00C76DEF" w:rsidRPr="0098574C">
        <w:rPr>
          <w:rStyle w:val="Textoennegrita"/>
          <w:rFonts w:ascii="Arial" w:eastAsia="Cambria" w:hAnsi="Arial" w:cs="Arial"/>
          <w:b w:val="0"/>
          <w:bCs w:val="0"/>
        </w:rPr>
        <w:t xml:space="preserve">el artículo 18 de la Ley 1712 de </w:t>
      </w:r>
      <w:r w:rsidR="003602DB" w:rsidRPr="0098574C">
        <w:rPr>
          <w:rStyle w:val="Textoennegrita"/>
          <w:rFonts w:ascii="Arial" w:eastAsia="Cambria" w:hAnsi="Arial" w:cs="Arial"/>
          <w:b w:val="0"/>
          <w:bCs w:val="0"/>
        </w:rPr>
        <w:t>2014 se</w:t>
      </w:r>
      <w:r w:rsidR="00C76DEF" w:rsidRPr="0098574C">
        <w:rPr>
          <w:rStyle w:val="Textoennegrita"/>
          <w:rFonts w:ascii="Arial" w:eastAsia="Cambria" w:hAnsi="Arial" w:cs="Arial"/>
          <w:b w:val="0"/>
          <w:bCs w:val="0"/>
        </w:rPr>
        <w:t xml:space="preserve"> dispuso</w:t>
      </w:r>
      <w:r w:rsidR="00FF2E26" w:rsidRPr="0098574C">
        <w:rPr>
          <w:rStyle w:val="Textoennegrita"/>
          <w:rFonts w:ascii="Arial" w:eastAsia="Cambria" w:hAnsi="Arial" w:cs="Arial"/>
        </w:rPr>
        <w:t xml:space="preserve"> </w:t>
      </w:r>
      <w:r w:rsidR="00FF2E26" w:rsidRPr="0098574C">
        <w:rPr>
          <w:rStyle w:val="Textoennegrita"/>
          <w:rFonts w:ascii="Arial" w:eastAsia="Cambria" w:hAnsi="Arial" w:cs="Arial"/>
          <w:b w:val="0"/>
          <w:bCs w:val="0"/>
        </w:rPr>
        <w:t>que, la</w:t>
      </w:r>
      <w:r w:rsidR="00C76DEF" w:rsidRPr="0098574C">
        <w:rPr>
          <w:rStyle w:val="Textoennegrita"/>
          <w:rFonts w:ascii="Arial" w:eastAsia="Cambria" w:hAnsi="Arial" w:cs="Arial"/>
        </w:rPr>
        <w:t xml:space="preserve"> “</w:t>
      </w:r>
      <w:r w:rsidRPr="0098574C">
        <w:rPr>
          <w:rStyle w:val="nfasis"/>
          <w:rFonts w:ascii="Arial" w:hAnsi="Arial" w:cs="Arial"/>
          <w:b/>
          <w:bCs/>
        </w:rPr>
        <w:t>Información exceptuada por daño de derechos a personas naturales o jurídicas.</w:t>
      </w:r>
      <w:r w:rsidR="003602DB" w:rsidRPr="0098574C">
        <w:rPr>
          <w:rStyle w:val="nfasis"/>
          <w:rFonts w:ascii="Arial" w:hAnsi="Arial" w:cs="Arial"/>
          <w:b/>
          <w:bCs/>
        </w:rPr>
        <w:t xml:space="preserve"> </w:t>
      </w:r>
      <w:r w:rsidRPr="0098574C">
        <w:rPr>
          <w:rFonts w:ascii="Arial" w:hAnsi="Arial" w:cs="Arial"/>
          <w:i/>
          <w:iCs/>
        </w:rPr>
        <w:t>E</w:t>
      </w:r>
      <w:r w:rsidRPr="0098574C">
        <w:rPr>
          <w:rFonts w:ascii="Arial" w:hAnsi="Arial" w:cs="Arial"/>
        </w:rPr>
        <w:t xml:space="preserve">s </w:t>
      </w:r>
      <w:r w:rsidRPr="0098574C">
        <w:rPr>
          <w:rFonts w:ascii="Arial" w:hAnsi="Arial" w:cs="Arial"/>
          <w:i/>
          <w:iCs/>
        </w:rPr>
        <w:t>toda aquella información pública clasificada, cuyo acceso podrá ser rechazado o denegado de manera motivada y por escrito, siempre que el acceso pudiere causar un daño a los siguientes derechos:</w:t>
      </w:r>
    </w:p>
    <w:p w14:paraId="2E1030C7" w14:textId="6B834298" w:rsidR="003A5FB0" w:rsidRPr="0098574C" w:rsidRDefault="00A75FFE" w:rsidP="003A5FB0">
      <w:pPr>
        <w:pStyle w:val="NormalWeb"/>
        <w:numPr>
          <w:ilvl w:val="0"/>
          <w:numId w:val="3"/>
        </w:numPr>
        <w:shd w:val="clear" w:color="auto" w:fill="FFFFFF"/>
        <w:spacing w:before="0" w:beforeAutospacing="0"/>
        <w:jc w:val="both"/>
        <w:rPr>
          <w:rFonts w:ascii="Arial" w:hAnsi="Arial" w:cs="Arial"/>
          <w:i/>
          <w:iCs/>
        </w:rPr>
      </w:pPr>
      <w:r w:rsidRPr="0098574C">
        <w:rPr>
          <w:rFonts w:ascii="Arial" w:hAnsi="Arial" w:cs="Arial"/>
          <w:i/>
          <w:iCs/>
          <w:u w:val="single"/>
        </w:rPr>
        <w:t>El derecho de toda persona a la intimidad</w:t>
      </w:r>
      <w:r w:rsidRPr="0098574C">
        <w:rPr>
          <w:rFonts w:ascii="Arial" w:hAnsi="Arial" w:cs="Arial"/>
          <w:i/>
          <w:iCs/>
        </w:rPr>
        <w:t>, bajo las limitaciones propias que impone la condición de servidor público, en concordancia con lo estipulado por el artículo </w:t>
      </w:r>
      <w:hyperlink r:id="rId9" w:anchor="24" w:history="1">
        <w:r w:rsidRPr="0098574C">
          <w:rPr>
            <w:rStyle w:val="Hipervnculo"/>
            <w:rFonts w:ascii="Arial" w:eastAsia="Cambria" w:hAnsi="Arial" w:cs="Arial"/>
            <w:i/>
            <w:iCs/>
            <w:color w:val="auto"/>
            <w:u w:val="none"/>
          </w:rPr>
          <w:t>24</w:t>
        </w:r>
      </w:hyperlink>
      <w:r w:rsidRPr="0098574C">
        <w:rPr>
          <w:rFonts w:ascii="Arial" w:hAnsi="Arial" w:cs="Arial"/>
          <w:i/>
          <w:iCs/>
        </w:rPr>
        <w:t> de la Ley </w:t>
      </w:r>
      <w:hyperlink r:id="rId10" w:anchor="0" w:history="1">
        <w:r w:rsidRPr="0098574C">
          <w:rPr>
            <w:rStyle w:val="Hipervnculo"/>
            <w:rFonts w:ascii="Arial" w:eastAsia="Cambria" w:hAnsi="Arial" w:cs="Arial"/>
            <w:i/>
            <w:iCs/>
            <w:color w:val="auto"/>
            <w:u w:val="none"/>
          </w:rPr>
          <w:t>1437</w:t>
        </w:r>
      </w:hyperlink>
      <w:r w:rsidRPr="0098574C">
        <w:rPr>
          <w:rFonts w:ascii="Arial" w:hAnsi="Arial" w:cs="Arial"/>
          <w:i/>
          <w:iCs/>
        </w:rPr>
        <w:t> de 2011</w:t>
      </w:r>
      <w:r w:rsidR="003602DB" w:rsidRPr="0098574C">
        <w:rPr>
          <w:rFonts w:ascii="Arial" w:hAnsi="Arial" w:cs="Arial"/>
          <w:i/>
          <w:iCs/>
        </w:rPr>
        <w:t xml:space="preserve"> (…)”</w:t>
      </w:r>
    </w:p>
    <w:p w14:paraId="50B5FF22" w14:textId="47E6ADD5" w:rsidR="00A75FFE" w:rsidRPr="0098574C" w:rsidRDefault="000C1544" w:rsidP="00322104">
      <w:pPr>
        <w:pStyle w:val="NormalWeb"/>
        <w:spacing w:before="0" w:beforeAutospacing="0" w:after="0" w:afterAutospacing="0" w:line="254" w:lineRule="atLeast"/>
        <w:jc w:val="both"/>
        <w:rPr>
          <w:rStyle w:val="Textoennegrita"/>
          <w:rFonts w:ascii="Arial" w:eastAsia="Cambria" w:hAnsi="Arial" w:cs="Arial"/>
          <w:b w:val="0"/>
          <w:bCs w:val="0"/>
          <w:color w:val="000000"/>
        </w:rPr>
      </w:pPr>
      <w:r w:rsidRPr="0098574C">
        <w:rPr>
          <w:rStyle w:val="Textoennegrita"/>
          <w:rFonts w:ascii="Arial" w:eastAsia="Cambria" w:hAnsi="Arial" w:cs="Arial"/>
          <w:b w:val="0"/>
          <w:bCs w:val="0"/>
          <w:color w:val="000000"/>
        </w:rPr>
        <w:t>En razón a las anteriores precisiones normativas, procedo a dar respuesta a su solicitud en los siguientes términos:</w:t>
      </w:r>
    </w:p>
    <w:p w14:paraId="1B3F6159" w14:textId="444B71EE" w:rsidR="00A75FFE" w:rsidRPr="0098574C" w:rsidRDefault="00A75FFE" w:rsidP="00322104">
      <w:pPr>
        <w:pStyle w:val="NormalWeb"/>
        <w:spacing w:before="0" w:beforeAutospacing="0" w:after="0" w:afterAutospacing="0" w:line="254" w:lineRule="atLeast"/>
        <w:jc w:val="both"/>
        <w:rPr>
          <w:rStyle w:val="Textoennegrita"/>
          <w:rFonts w:ascii="Arial" w:eastAsia="Cambria" w:hAnsi="Arial" w:cs="Arial"/>
          <w:b w:val="0"/>
          <w:bCs w:val="0"/>
          <w:color w:val="000000"/>
        </w:rPr>
      </w:pPr>
    </w:p>
    <w:p w14:paraId="48FD8928" w14:textId="47AFF1FB" w:rsidR="007D7079" w:rsidRPr="0098574C" w:rsidRDefault="000C1544" w:rsidP="00322104">
      <w:pPr>
        <w:pStyle w:val="NormalWeb"/>
        <w:spacing w:before="0" w:beforeAutospacing="0" w:after="0" w:afterAutospacing="0" w:line="254" w:lineRule="atLeast"/>
        <w:jc w:val="both"/>
        <w:rPr>
          <w:rStyle w:val="Textoennegrita"/>
          <w:rFonts w:ascii="Arial" w:eastAsia="Cambria" w:hAnsi="Arial" w:cs="Arial"/>
          <w:b w:val="0"/>
          <w:bCs w:val="0"/>
          <w:color w:val="000000"/>
        </w:rPr>
      </w:pPr>
      <w:r w:rsidRPr="0098574C">
        <w:rPr>
          <w:rStyle w:val="Textoennegrita"/>
          <w:rFonts w:ascii="Arial" w:eastAsia="Cambria" w:hAnsi="Arial" w:cs="Arial"/>
          <w:color w:val="000000"/>
        </w:rPr>
        <w:t>En cuanto al punto 1:</w:t>
      </w:r>
      <w:r w:rsidR="00C06598" w:rsidRPr="0098574C">
        <w:rPr>
          <w:rStyle w:val="Textoennegrita"/>
          <w:rFonts w:ascii="Arial" w:eastAsia="Cambria" w:hAnsi="Arial" w:cs="Arial"/>
          <w:color w:val="000000"/>
        </w:rPr>
        <w:t xml:space="preserve"> </w:t>
      </w:r>
      <w:r w:rsidR="00242961" w:rsidRPr="0098574C">
        <w:rPr>
          <w:rStyle w:val="Textoennegrita"/>
          <w:rFonts w:ascii="Arial" w:eastAsia="Cambria" w:hAnsi="Arial" w:cs="Arial"/>
          <w:b w:val="0"/>
          <w:bCs w:val="0"/>
          <w:color w:val="000000"/>
        </w:rPr>
        <w:t>Es preciso señalar que no es posible hacer entrega de la información solicitada, habida cuenta</w:t>
      </w:r>
      <w:r w:rsidR="005A2F7A" w:rsidRPr="0098574C">
        <w:rPr>
          <w:rStyle w:val="Textoennegrita"/>
          <w:rFonts w:ascii="Arial" w:eastAsia="Cambria" w:hAnsi="Arial" w:cs="Arial"/>
          <w:b w:val="0"/>
          <w:bCs w:val="0"/>
          <w:color w:val="000000"/>
        </w:rPr>
        <w:t xml:space="preserve"> </w:t>
      </w:r>
      <w:r w:rsidR="00242961" w:rsidRPr="0098574C">
        <w:rPr>
          <w:rStyle w:val="Textoennegrita"/>
          <w:rFonts w:ascii="Arial" w:eastAsia="Cambria" w:hAnsi="Arial" w:cs="Arial"/>
          <w:b w:val="0"/>
          <w:bCs w:val="0"/>
          <w:color w:val="000000"/>
        </w:rPr>
        <w:t>que</w:t>
      </w:r>
      <w:r w:rsidR="007D7079" w:rsidRPr="0098574C">
        <w:rPr>
          <w:rStyle w:val="Textoennegrita"/>
          <w:rFonts w:ascii="Arial" w:eastAsia="Cambria" w:hAnsi="Arial" w:cs="Arial"/>
          <w:b w:val="0"/>
          <w:bCs w:val="0"/>
          <w:color w:val="000000"/>
        </w:rPr>
        <w:t xml:space="preserve"> los Notarios </w:t>
      </w:r>
      <w:r w:rsidR="007D7079" w:rsidRPr="0098574C">
        <w:rPr>
          <w:rFonts w:ascii="Arial" w:hAnsi="Arial" w:cs="Arial"/>
        </w:rPr>
        <w:t xml:space="preserve">a pesar de ser particulares que desempeñan una función pública, </w:t>
      </w:r>
      <w:r w:rsidR="007D7079" w:rsidRPr="0098574C">
        <w:rPr>
          <w:rFonts w:ascii="Arial" w:hAnsi="Arial" w:cs="Arial"/>
          <w:b/>
          <w:bCs/>
        </w:rPr>
        <w:t>no administran recursos públicos</w:t>
      </w:r>
      <w:r w:rsidR="007D7079" w:rsidRPr="0098574C">
        <w:rPr>
          <w:rFonts w:ascii="Arial" w:hAnsi="Arial" w:cs="Arial"/>
        </w:rPr>
        <w:t>, sino que sus recursos son de origen privado, esto es, por la prestación de sus servicios.</w:t>
      </w:r>
      <w:r w:rsidR="00242961" w:rsidRPr="0098574C">
        <w:rPr>
          <w:rStyle w:val="Textoennegrita"/>
          <w:rFonts w:ascii="Arial" w:eastAsia="Cambria" w:hAnsi="Arial" w:cs="Arial"/>
          <w:b w:val="0"/>
          <w:bCs w:val="0"/>
          <w:color w:val="000000"/>
        </w:rPr>
        <w:t xml:space="preserve"> </w:t>
      </w:r>
    </w:p>
    <w:p w14:paraId="1D5E96C6" w14:textId="0C488C41" w:rsidR="000C1544" w:rsidRPr="0098574C" w:rsidRDefault="000C1544" w:rsidP="00322104">
      <w:pPr>
        <w:pStyle w:val="NormalWeb"/>
        <w:spacing w:before="0" w:beforeAutospacing="0" w:after="0" w:afterAutospacing="0" w:line="254" w:lineRule="atLeast"/>
        <w:jc w:val="both"/>
        <w:rPr>
          <w:rStyle w:val="Textoennegrita"/>
          <w:rFonts w:ascii="Arial" w:eastAsia="Cambria" w:hAnsi="Arial" w:cs="Arial"/>
          <w:b w:val="0"/>
          <w:bCs w:val="0"/>
          <w:color w:val="000000"/>
        </w:rPr>
      </w:pPr>
    </w:p>
    <w:p w14:paraId="267973A3" w14:textId="54B9A6E6" w:rsidR="007D7079" w:rsidRPr="0098574C" w:rsidRDefault="007D7079" w:rsidP="007D7079">
      <w:pPr>
        <w:spacing w:line="276" w:lineRule="auto"/>
        <w:jc w:val="both"/>
        <w:rPr>
          <w:rFonts w:ascii="Arial" w:hAnsi="Arial" w:cs="Arial"/>
          <w:sz w:val="24"/>
          <w:szCs w:val="24"/>
        </w:rPr>
      </w:pPr>
      <w:r w:rsidRPr="0098574C">
        <w:rPr>
          <w:rFonts w:ascii="Arial" w:hAnsi="Arial" w:cs="Arial"/>
          <w:sz w:val="24"/>
          <w:szCs w:val="24"/>
        </w:rPr>
        <w:t>De otra parte, es preciso señalar que, las Veedurías no pueden realizar vigilancia sobre l</w:t>
      </w:r>
      <w:r w:rsidR="004526FA">
        <w:rPr>
          <w:rFonts w:ascii="Arial" w:hAnsi="Arial" w:cs="Arial"/>
          <w:sz w:val="24"/>
          <w:szCs w:val="24"/>
        </w:rPr>
        <w:t>os Notarios como particulares</w:t>
      </w:r>
      <w:r w:rsidRPr="0098574C">
        <w:rPr>
          <w:rFonts w:ascii="Arial" w:hAnsi="Arial" w:cs="Arial"/>
          <w:sz w:val="24"/>
          <w:szCs w:val="24"/>
        </w:rPr>
        <w:t xml:space="preserve">, dado que </w:t>
      </w:r>
      <w:r w:rsidRPr="0098574C">
        <w:rPr>
          <w:rFonts w:ascii="Arial" w:hAnsi="Arial" w:cs="Arial"/>
          <w:b/>
          <w:bCs/>
          <w:sz w:val="24"/>
          <w:szCs w:val="24"/>
        </w:rPr>
        <w:t>no administramos recursos públicos</w:t>
      </w:r>
      <w:r w:rsidR="00BD51CB" w:rsidRPr="0098574C">
        <w:rPr>
          <w:rFonts w:ascii="Arial" w:hAnsi="Arial" w:cs="Arial"/>
          <w:b/>
          <w:bCs/>
          <w:sz w:val="24"/>
          <w:szCs w:val="24"/>
        </w:rPr>
        <w:t xml:space="preserve"> ni manejamos </w:t>
      </w:r>
      <w:r w:rsidR="00BD51CB" w:rsidRPr="0098574C">
        <w:rPr>
          <w:rFonts w:ascii="Arial" w:hAnsi="Arial" w:cs="Arial"/>
          <w:b/>
          <w:bCs/>
          <w:color w:val="000000" w:themeColor="text1"/>
          <w:sz w:val="24"/>
          <w:szCs w:val="24"/>
          <w:shd w:val="clear" w:color="auto" w:fill="FFFFFF"/>
        </w:rPr>
        <w:t xml:space="preserve">programas, proyectos o contratos </w:t>
      </w:r>
      <w:r w:rsidR="00BD51CB" w:rsidRPr="0098574C">
        <w:rPr>
          <w:rFonts w:ascii="Arial" w:hAnsi="Arial" w:cs="Arial"/>
          <w:color w:val="000000" w:themeColor="text1"/>
          <w:sz w:val="24"/>
          <w:szCs w:val="24"/>
          <w:shd w:val="clear" w:color="auto" w:fill="FFFFFF"/>
        </w:rPr>
        <w:t>en los que se deba salvaguardar el patrimonio del Estado</w:t>
      </w:r>
      <w:r w:rsidRPr="0098574C">
        <w:rPr>
          <w:rFonts w:ascii="Arial" w:hAnsi="Arial" w:cs="Arial"/>
          <w:sz w:val="24"/>
          <w:szCs w:val="24"/>
        </w:rPr>
        <w:t>, y, por lo tanto, se estaría</w:t>
      </w:r>
      <w:r w:rsidR="00BD51CB" w:rsidRPr="0098574C">
        <w:rPr>
          <w:rFonts w:ascii="Arial" w:hAnsi="Arial" w:cs="Arial"/>
          <w:sz w:val="24"/>
          <w:szCs w:val="24"/>
        </w:rPr>
        <w:t>n</w:t>
      </w:r>
      <w:r w:rsidRPr="0098574C">
        <w:rPr>
          <w:rFonts w:ascii="Arial" w:hAnsi="Arial" w:cs="Arial"/>
          <w:sz w:val="24"/>
          <w:szCs w:val="24"/>
        </w:rPr>
        <w:t xml:space="preserve"> excediendo las facultades de </w:t>
      </w:r>
      <w:r w:rsidR="00BD51CB" w:rsidRPr="0098574C">
        <w:rPr>
          <w:rFonts w:ascii="Arial" w:hAnsi="Arial" w:cs="Arial"/>
          <w:sz w:val="24"/>
          <w:szCs w:val="24"/>
        </w:rPr>
        <w:t>esas Entidades</w:t>
      </w:r>
      <w:r w:rsidRPr="0098574C">
        <w:rPr>
          <w:rFonts w:ascii="Arial" w:hAnsi="Arial" w:cs="Arial"/>
          <w:sz w:val="24"/>
          <w:szCs w:val="24"/>
        </w:rPr>
        <w:t xml:space="preserve"> ya que su ámbito de aplicación está limitado a vigilar la gestión pública de entidades o personas que administren recursos públicos. </w:t>
      </w:r>
    </w:p>
    <w:p w14:paraId="0BEB57E9" w14:textId="6B932C96" w:rsidR="00BD51CB" w:rsidRPr="0098574C" w:rsidRDefault="00BD51CB" w:rsidP="007D7079">
      <w:pPr>
        <w:spacing w:line="276" w:lineRule="auto"/>
        <w:jc w:val="both"/>
        <w:rPr>
          <w:rFonts w:ascii="Arial" w:hAnsi="Arial" w:cs="Arial"/>
          <w:sz w:val="24"/>
          <w:szCs w:val="24"/>
        </w:rPr>
      </w:pPr>
    </w:p>
    <w:p w14:paraId="08226577" w14:textId="77777777" w:rsidR="00BD51CB" w:rsidRPr="0098574C" w:rsidRDefault="00BD51CB" w:rsidP="007D7079">
      <w:pPr>
        <w:spacing w:line="276" w:lineRule="auto"/>
        <w:jc w:val="both"/>
        <w:rPr>
          <w:rFonts w:ascii="Arial" w:hAnsi="Arial" w:cs="Arial"/>
          <w:sz w:val="24"/>
          <w:szCs w:val="24"/>
        </w:rPr>
      </w:pPr>
    </w:p>
    <w:p w14:paraId="1C560152" w14:textId="22CD4D9A" w:rsidR="007D7079" w:rsidRPr="0098574C" w:rsidRDefault="00BD51CB" w:rsidP="00AD5B46">
      <w:pPr>
        <w:spacing w:line="276" w:lineRule="auto"/>
        <w:jc w:val="both"/>
        <w:rPr>
          <w:rFonts w:ascii="Arial" w:hAnsi="Arial" w:cs="Arial"/>
          <w:sz w:val="24"/>
          <w:szCs w:val="24"/>
        </w:rPr>
      </w:pPr>
      <w:r w:rsidRPr="0098574C">
        <w:rPr>
          <w:rFonts w:ascii="Arial" w:hAnsi="Arial" w:cs="Arial"/>
          <w:sz w:val="24"/>
          <w:szCs w:val="24"/>
        </w:rPr>
        <w:t>De lo anterior, se puede interpretar entonces</w:t>
      </w:r>
      <w:r w:rsidR="00AD5B46" w:rsidRPr="0098574C">
        <w:rPr>
          <w:rFonts w:ascii="Arial" w:hAnsi="Arial" w:cs="Arial"/>
          <w:sz w:val="24"/>
          <w:szCs w:val="24"/>
        </w:rPr>
        <w:t>,</w:t>
      </w:r>
      <w:r w:rsidRPr="0098574C">
        <w:rPr>
          <w:rFonts w:ascii="Arial" w:hAnsi="Arial" w:cs="Arial"/>
          <w:sz w:val="24"/>
          <w:szCs w:val="24"/>
        </w:rPr>
        <w:t xml:space="preserve"> que la Petición elevada conlleva a la violación de la privacidad del Notario y sus trabajadores, y, por consiguiente, la entrega de </w:t>
      </w:r>
      <w:r w:rsidR="00AD5B46" w:rsidRPr="0098574C">
        <w:rPr>
          <w:rFonts w:ascii="Arial" w:hAnsi="Arial" w:cs="Arial"/>
          <w:sz w:val="24"/>
          <w:szCs w:val="24"/>
        </w:rPr>
        <w:t>la</w:t>
      </w:r>
      <w:r w:rsidRPr="0098574C">
        <w:rPr>
          <w:rFonts w:ascii="Arial" w:hAnsi="Arial" w:cs="Arial"/>
          <w:sz w:val="24"/>
          <w:szCs w:val="24"/>
        </w:rPr>
        <w:t xml:space="preserve"> información solicitada conlleva a la violación de</w:t>
      </w:r>
      <w:r w:rsidR="00AD5B46" w:rsidRPr="0098574C">
        <w:rPr>
          <w:rFonts w:ascii="Arial" w:hAnsi="Arial" w:cs="Arial"/>
          <w:sz w:val="24"/>
          <w:szCs w:val="24"/>
        </w:rPr>
        <w:t xml:space="preserve">l </w:t>
      </w:r>
      <w:r w:rsidRPr="0098574C">
        <w:rPr>
          <w:rFonts w:ascii="Arial" w:hAnsi="Arial" w:cs="Arial"/>
          <w:sz w:val="24"/>
          <w:szCs w:val="24"/>
        </w:rPr>
        <w:t>derecho fundamental</w:t>
      </w:r>
      <w:r w:rsidR="00AD5B46" w:rsidRPr="0098574C">
        <w:rPr>
          <w:rFonts w:ascii="Arial" w:hAnsi="Arial" w:cs="Arial"/>
          <w:sz w:val="24"/>
          <w:szCs w:val="24"/>
        </w:rPr>
        <w:t xml:space="preserve"> a la intimidad consagrado en la carta política de Colombia y lo dispuesto en la Ley</w:t>
      </w:r>
      <w:r w:rsidR="00AD5B46" w:rsidRPr="0098574C">
        <w:rPr>
          <w:rStyle w:val="Textoennegrita"/>
          <w:rFonts w:ascii="Arial" w:hAnsi="Arial" w:cs="Arial"/>
          <w:b w:val="0"/>
          <w:bCs w:val="0"/>
          <w:sz w:val="24"/>
          <w:szCs w:val="24"/>
        </w:rPr>
        <w:t xml:space="preserve"> 1712 de 2014. </w:t>
      </w:r>
      <w:r w:rsidRPr="0098574C">
        <w:rPr>
          <w:rFonts w:ascii="Arial" w:hAnsi="Arial" w:cs="Arial"/>
          <w:sz w:val="24"/>
          <w:szCs w:val="24"/>
        </w:rPr>
        <w:t xml:space="preserve"> </w:t>
      </w:r>
    </w:p>
    <w:p w14:paraId="1F01E34B" w14:textId="77777777" w:rsidR="007D7079" w:rsidRPr="0098574C" w:rsidRDefault="007D7079" w:rsidP="00322104">
      <w:pPr>
        <w:pStyle w:val="NormalWeb"/>
        <w:spacing w:before="0" w:beforeAutospacing="0" w:after="0" w:afterAutospacing="0" w:line="254" w:lineRule="atLeast"/>
        <w:jc w:val="both"/>
        <w:rPr>
          <w:rStyle w:val="Textoennegrita"/>
          <w:rFonts w:ascii="Arial" w:eastAsia="Cambria" w:hAnsi="Arial" w:cs="Arial"/>
          <w:color w:val="000000"/>
        </w:rPr>
      </w:pPr>
    </w:p>
    <w:p w14:paraId="5669F01F" w14:textId="2E783FF7" w:rsidR="000C1544" w:rsidRPr="0098574C" w:rsidRDefault="000C1544" w:rsidP="00322104">
      <w:pPr>
        <w:pStyle w:val="NormalWeb"/>
        <w:spacing w:before="0" w:beforeAutospacing="0" w:after="0" w:afterAutospacing="0" w:line="254" w:lineRule="atLeast"/>
        <w:jc w:val="both"/>
        <w:rPr>
          <w:rStyle w:val="Textoennegrita"/>
          <w:rFonts w:ascii="Arial" w:eastAsia="Cambria" w:hAnsi="Arial" w:cs="Arial"/>
          <w:b w:val="0"/>
          <w:bCs w:val="0"/>
          <w:color w:val="000000"/>
        </w:rPr>
      </w:pPr>
      <w:r w:rsidRPr="0098574C">
        <w:rPr>
          <w:rStyle w:val="Textoennegrita"/>
          <w:rFonts w:ascii="Arial" w:eastAsia="Cambria" w:hAnsi="Arial" w:cs="Arial"/>
          <w:color w:val="000000"/>
        </w:rPr>
        <w:lastRenderedPageBreak/>
        <w:t>En cuanto al punto 2:</w:t>
      </w:r>
      <w:r w:rsidR="00AD5B46" w:rsidRPr="0098574C">
        <w:rPr>
          <w:rStyle w:val="Textoennegrita"/>
          <w:rFonts w:ascii="Arial" w:eastAsia="Cambria" w:hAnsi="Arial" w:cs="Arial"/>
          <w:color w:val="000000"/>
        </w:rPr>
        <w:t xml:space="preserve"> </w:t>
      </w:r>
      <w:r w:rsidR="00AD5B46" w:rsidRPr="0098574C">
        <w:rPr>
          <w:rStyle w:val="Textoennegrita"/>
          <w:rFonts w:ascii="Arial" w:eastAsia="Cambria" w:hAnsi="Arial" w:cs="Arial"/>
          <w:b w:val="0"/>
          <w:bCs w:val="0"/>
          <w:color w:val="000000"/>
        </w:rPr>
        <w:t xml:space="preserve">le informo que no es posible </w:t>
      </w:r>
      <w:r w:rsidR="00873E7D" w:rsidRPr="0098574C">
        <w:rPr>
          <w:rStyle w:val="Textoennegrita"/>
          <w:rFonts w:ascii="Arial" w:eastAsia="Cambria" w:hAnsi="Arial" w:cs="Arial"/>
          <w:b w:val="0"/>
          <w:bCs w:val="0"/>
          <w:color w:val="000000"/>
        </w:rPr>
        <w:t>brindar la información solicitada por lo expuesto en el punto 1.</w:t>
      </w:r>
    </w:p>
    <w:p w14:paraId="563AA691" w14:textId="77777777" w:rsidR="00873E7D" w:rsidRPr="0098574C" w:rsidRDefault="00873E7D" w:rsidP="00322104">
      <w:pPr>
        <w:pStyle w:val="NormalWeb"/>
        <w:spacing w:before="0" w:beforeAutospacing="0" w:after="0" w:afterAutospacing="0" w:line="254" w:lineRule="atLeast"/>
        <w:jc w:val="both"/>
        <w:rPr>
          <w:rStyle w:val="Textoennegrita"/>
          <w:rFonts w:ascii="Arial" w:eastAsia="Cambria" w:hAnsi="Arial" w:cs="Arial"/>
          <w:b w:val="0"/>
          <w:bCs w:val="0"/>
          <w:color w:val="000000"/>
        </w:rPr>
      </w:pPr>
    </w:p>
    <w:p w14:paraId="0A9D8945" w14:textId="03AA5819" w:rsidR="000C1544" w:rsidRPr="0098574C" w:rsidRDefault="000C1544" w:rsidP="00322104">
      <w:pPr>
        <w:pStyle w:val="NormalWeb"/>
        <w:spacing w:before="0" w:beforeAutospacing="0" w:after="0" w:afterAutospacing="0" w:line="254" w:lineRule="atLeast"/>
        <w:jc w:val="both"/>
        <w:rPr>
          <w:rStyle w:val="Textoennegrita"/>
          <w:rFonts w:ascii="Arial" w:eastAsia="Cambria" w:hAnsi="Arial" w:cs="Arial"/>
          <w:b w:val="0"/>
          <w:bCs w:val="0"/>
          <w:color w:val="000000"/>
        </w:rPr>
      </w:pPr>
      <w:r w:rsidRPr="0098574C">
        <w:rPr>
          <w:rStyle w:val="Textoennegrita"/>
          <w:rFonts w:ascii="Arial" w:eastAsia="Cambria" w:hAnsi="Arial" w:cs="Arial"/>
          <w:color w:val="000000"/>
        </w:rPr>
        <w:t>En cuanto al punto 3:</w:t>
      </w:r>
      <w:r w:rsidR="00873E7D" w:rsidRPr="0098574C">
        <w:rPr>
          <w:rStyle w:val="Textoennegrita"/>
          <w:rFonts w:ascii="Arial" w:eastAsia="Cambria" w:hAnsi="Arial" w:cs="Arial"/>
          <w:color w:val="000000"/>
        </w:rPr>
        <w:t xml:space="preserve"> </w:t>
      </w:r>
      <w:r w:rsidR="00873E7D" w:rsidRPr="0098574C">
        <w:rPr>
          <w:rStyle w:val="Textoennegrita"/>
          <w:rFonts w:ascii="Arial" w:eastAsia="Cambria" w:hAnsi="Arial" w:cs="Arial"/>
          <w:b w:val="0"/>
          <w:bCs w:val="0"/>
          <w:color w:val="000000"/>
        </w:rPr>
        <w:t>le informo que no es posible brindar la información solicitada por lo expuesto en el punto 1.</w:t>
      </w:r>
    </w:p>
    <w:p w14:paraId="390256ED" w14:textId="77777777" w:rsidR="00873E7D" w:rsidRPr="0098574C" w:rsidRDefault="00873E7D" w:rsidP="00322104">
      <w:pPr>
        <w:pStyle w:val="NormalWeb"/>
        <w:spacing w:before="0" w:beforeAutospacing="0" w:after="0" w:afterAutospacing="0" w:line="254" w:lineRule="atLeast"/>
        <w:jc w:val="both"/>
        <w:rPr>
          <w:rStyle w:val="Textoennegrita"/>
          <w:rFonts w:ascii="Arial" w:eastAsia="Cambria" w:hAnsi="Arial" w:cs="Arial"/>
          <w:color w:val="000000"/>
        </w:rPr>
      </w:pPr>
    </w:p>
    <w:p w14:paraId="43689188" w14:textId="77777777" w:rsidR="00873E7D" w:rsidRPr="0098574C" w:rsidRDefault="000C1544" w:rsidP="00873E7D">
      <w:pPr>
        <w:pStyle w:val="NormalWeb"/>
        <w:spacing w:before="0" w:beforeAutospacing="0" w:after="0" w:afterAutospacing="0" w:line="254" w:lineRule="atLeast"/>
        <w:jc w:val="both"/>
        <w:rPr>
          <w:rStyle w:val="Textoennegrita"/>
          <w:rFonts w:ascii="Arial" w:eastAsia="Cambria" w:hAnsi="Arial" w:cs="Arial"/>
          <w:b w:val="0"/>
          <w:bCs w:val="0"/>
          <w:color w:val="000000"/>
        </w:rPr>
      </w:pPr>
      <w:r w:rsidRPr="0098574C">
        <w:rPr>
          <w:rStyle w:val="Textoennegrita"/>
          <w:rFonts w:ascii="Arial" w:eastAsia="Cambria" w:hAnsi="Arial" w:cs="Arial"/>
          <w:color w:val="000000"/>
        </w:rPr>
        <w:t>En cuanto al punto 4:</w:t>
      </w:r>
      <w:r w:rsidR="00873E7D" w:rsidRPr="0098574C">
        <w:rPr>
          <w:rStyle w:val="Textoennegrita"/>
          <w:rFonts w:ascii="Arial" w:eastAsia="Cambria" w:hAnsi="Arial" w:cs="Arial"/>
          <w:color w:val="000000"/>
        </w:rPr>
        <w:t xml:space="preserve"> </w:t>
      </w:r>
      <w:r w:rsidR="00873E7D" w:rsidRPr="0098574C">
        <w:rPr>
          <w:rStyle w:val="Textoennegrita"/>
          <w:rFonts w:ascii="Arial" w:eastAsia="Cambria" w:hAnsi="Arial" w:cs="Arial"/>
          <w:b w:val="0"/>
          <w:bCs w:val="0"/>
          <w:color w:val="000000"/>
        </w:rPr>
        <w:t>le informo que no es posible brindar la información solicitada por lo expuesto en el punto 1.</w:t>
      </w:r>
    </w:p>
    <w:p w14:paraId="51066ACC" w14:textId="77777777" w:rsidR="00873E7D" w:rsidRPr="0098574C" w:rsidRDefault="00873E7D" w:rsidP="00322104">
      <w:pPr>
        <w:pStyle w:val="NormalWeb"/>
        <w:spacing w:before="0" w:beforeAutospacing="0" w:after="0" w:afterAutospacing="0" w:line="254" w:lineRule="atLeast"/>
        <w:jc w:val="both"/>
        <w:rPr>
          <w:rStyle w:val="Textoennegrita"/>
          <w:rFonts w:ascii="Arial" w:eastAsia="Cambria" w:hAnsi="Arial" w:cs="Arial"/>
          <w:color w:val="000000"/>
        </w:rPr>
      </w:pPr>
    </w:p>
    <w:p w14:paraId="1742A8FF" w14:textId="45D3EE0C" w:rsidR="000C1544" w:rsidRPr="0098574C" w:rsidRDefault="000C1544" w:rsidP="00322104">
      <w:pPr>
        <w:pStyle w:val="NormalWeb"/>
        <w:spacing w:before="0" w:beforeAutospacing="0" w:after="0" w:afterAutospacing="0" w:line="254" w:lineRule="atLeast"/>
        <w:jc w:val="both"/>
        <w:rPr>
          <w:rStyle w:val="Textoennegrita"/>
          <w:rFonts w:ascii="Arial" w:eastAsia="Cambria" w:hAnsi="Arial" w:cs="Arial"/>
          <w:color w:val="000000"/>
        </w:rPr>
      </w:pPr>
      <w:r w:rsidRPr="0098574C">
        <w:rPr>
          <w:rStyle w:val="Textoennegrita"/>
          <w:rFonts w:ascii="Arial" w:eastAsia="Cambria" w:hAnsi="Arial" w:cs="Arial"/>
          <w:color w:val="000000"/>
        </w:rPr>
        <w:t>En cuanto al punto 5:</w:t>
      </w:r>
      <w:r w:rsidR="00F53B87" w:rsidRPr="0098574C">
        <w:rPr>
          <w:rStyle w:val="Textoennegrita"/>
          <w:rFonts w:ascii="Arial" w:eastAsia="Cambria" w:hAnsi="Arial" w:cs="Arial"/>
          <w:color w:val="000000"/>
        </w:rPr>
        <w:t xml:space="preserve"> </w:t>
      </w:r>
      <w:r w:rsidR="00873E7D" w:rsidRPr="0098574C">
        <w:rPr>
          <w:rStyle w:val="Textoennegrita"/>
          <w:rFonts w:ascii="Arial" w:eastAsia="Cambria" w:hAnsi="Arial" w:cs="Arial"/>
          <w:b w:val="0"/>
          <w:bCs w:val="0"/>
          <w:color w:val="000000"/>
        </w:rPr>
        <w:t>le informo que no es posible brindar la información solicitada por lo expuesto en el punto 1.</w:t>
      </w:r>
    </w:p>
    <w:p w14:paraId="0B17B561" w14:textId="77777777" w:rsidR="00873E7D" w:rsidRPr="0098574C" w:rsidRDefault="00873E7D" w:rsidP="00873E7D">
      <w:pPr>
        <w:widowControl/>
        <w:autoSpaceDE/>
        <w:autoSpaceDN/>
        <w:spacing w:line="276" w:lineRule="auto"/>
        <w:jc w:val="both"/>
        <w:rPr>
          <w:rStyle w:val="Textoennegrita"/>
          <w:rFonts w:ascii="Arial" w:hAnsi="Arial" w:cs="Arial"/>
          <w:color w:val="000000"/>
          <w:sz w:val="24"/>
          <w:szCs w:val="24"/>
        </w:rPr>
      </w:pPr>
    </w:p>
    <w:p w14:paraId="04C2F3D0" w14:textId="23DDEC54" w:rsidR="00235D2F" w:rsidRDefault="000C1544" w:rsidP="00873E7D">
      <w:pPr>
        <w:widowControl/>
        <w:autoSpaceDE/>
        <w:autoSpaceDN/>
        <w:spacing w:line="276" w:lineRule="auto"/>
        <w:jc w:val="both"/>
        <w:rPr>
          <w:rFonts w:ascii="Arial" w:hAnsi="Arial" w:cs="Arial"/>
          <w:sz w:val="24"/>
          <w:szCs w:val="24"/>
        </w:rPr>
      </w:pPr>
      <w:r w:rsidRPr="0098574C">
        <w:rPr>
          <w:rStyle w:val="Textoennegrita"/>
          <w:rFonts w:ascii="Arial" w:hAnsi="Arial" w:cs="Arial"/>
          <w:color w:val="000000"/>
          <w:sz w:val="24"/>
          <w:szCs w:val="24"/>
        </w:rPr>
        <w:t>En cuanto al punto 6:</w:t>
      </w:r>
      <w:r w:rsidR="00873E7D" w:rsidRPr="0098574C">
        <w:rPr>
          <w:rStyle w:val="Textoennegrita"/>
          <w:rFonts w:ascii="Arial" w:hAnsi="Arial" w:cs="Arial"/>
          <w:color w:val="000000"/>
          <w:sz w:val="24"/>
          <w:szCs w:val="24"/>
        </w:rPr>
        <w:t xml:space="preserve"> </w:t>
      </w:r>
      <w:r w:rsidR="00235D2F">
        <w:rPr>
          <w:rFonts w:ascii="Arial" w:hAnsi="Arial" w:cs="Arial"/>
          <w:sz w:val="24"/>
          <w:szCs w:val="24"/>
        </w:rPr>
        <w:t>Es preciso indicar que, por tratarse de una investigación que se adelanta por una Entidad que se extralimitó en el desarrollo de sus funciones, consideramos</w:t>
      </w:r>
      <w:r w:rsidR="00CA2B42">
        <w:rPr>
          <w:rFonts w:ascii="Arial" w:hAnsi="Arial" w:cs="Arial"/>
          <w:sz w:val="24"/>
          <w:szCs w:val="24"/>
        </w:rPr>
        <w:t>,</w:t>
      </w:r>
      <w:r w:rsidR="00235D2F">
        <w:rPr>
          <w:rFonts w:ascii="Arial" w:hAnsi="Arial" w:cs="Arial"/>
          <w:sz w:val="24"/>
          <w:szCs w:val="24"/>
        </w:rPr>
        <w:t xml:space="preserve"> no es posible acceder a lo solicitado. </w:t>
      </w:r>
    </w:p>
    <w:p w14:paraId="729915EF" w14:textId="77777777" w:rsidR="00235D2F" w:rsidRDefault="00235D2F" w:rsidP="00873E7D">
      <w:pPr>
        <w:widowControl/>
        <w:autoSpaceDE/>
        <w:autoSpaceDN/>
        <w:spacing w:line="276" w:lineRule="auto"/>
        <w:jc w:val="both"/>
        <w:rPr>
          <w:rFonts w:ascii="Arial" w:hAnsi="Arial" w:cs="Arial"/>
          <w:sz w:val="24"/>
          <w:szCs w:val="24"/>
        </w:rPr>
      </w:pPr>
    </w:p>
    <w:p w14:paraId="7FD83108" w14:textId="5724F8A5" w:rsidR="00CA2B42" w:rsidRDefault="00235D2F" w:rsidP="00CA2B42">
      <w:pPr>
        <w:widowControl/>
        <w:autoSpaceDE/>
        <w:autoSpaceDN/>
        <w:spacing w:line="276" w:lineRule="auto"/>
        <w:jc w:val="both"/>
        <w:rPr>
          <w:rFonts w:ascii="Arial" w:hAnsi="Arial" w:cs="Arial"/>
          <w:sz w:val="24"/>
          <w:szCs w:val="24"/>
        </w:rPr>
      </w:pPr>
      <w:r>
        <w:rPr>
          <w:rFonts w:ascii="Arial" w:hAnsi="Arial" w:cs="Arial"/>
          <w:sz w:val="24"/>
          <w:szCs w:val="24"/>
        </w:rPr>
        <w:t xml:space="preserve">No obstante, </w:t>
      </w:r>
      <w:r w:rsidR="00873E7D" w:rsidRPr="0098574C">
        <w:rPr>
          <w:rFonts w:ascii="Arial" w:hAnsi="Arial" w:cs="Arial"/>
          <w:sz w:val="24"/>
          <w:szCs w:val="24"/>
        </w:rPr>
        <w:t>en virtud de</w:t>
      </w:r>
      <w:r>
        <w:rPr>
          <w:rFonts w:ascii="Arial" w:hAnsi="Arial" w:cs="Arial"/>
          <w:sz w:val="24"/>
          <w:szCs w:val="24"/>
        </w:rPr>
        <w:t xml:space="preserve"> </w:t>
      </w:r>
      <w:r w:rsidR="00873E7D" w:rsidRPr="0098574C">
        <w:rPr>
          <w:rFonts w:ascii="Arial" w:hAnsi="Arial" w:cs="Arial"/>
          <w:sz w:val="24"/>
          <w:szCs w:val="24"/>
        </w:rPr>
        <w:t>l</w:t>
      </w:r>
      <w:r>
        <w:rPr>
          <w:rFonts w:ascii="Arial" w:hAnsi="Arial" w:cs="Arial"/>
          <w:sz w:val="24"/>
          <w:szCs w:val="24"/>
        </w:rPr>
        <w:t>o dispuesto en el</w:t>
      </w:r>
      <w:r w:rsidR="00873E7D" w:rsidRPr="0098574C">
        <w:rPr>
          <w:rFonts w:ascii="Arial" w:hAnsi="Arial" w:cs="Arial"/>
          <w:sz w:val="24"/>
          <w:szCs w:val="24"/>
        </w:rPr>
        <w:t xml:space="preserve"> artículo 2 de la Ley 2013 de 2019, que afirma: </w:t>
      </w:r>
      <w:r w:rsidR="00873E7D" w:rsidRPr="0098574C">
        <w:rPr>
          <w:rFonts w:ascii="Arial" w:hAnsi="Arial" w:cs="Arial"/>
          <w:i/>
          <w:iCs/>
          <w:sz w:val="24"/>
          <w:szCs w:val="24"/>
        </w:rPr>
        <w:t>“La publicación y divulgación de la declaración de bienes y rentas, del registro de conflictos de interés y la declaración del impuesto sobre la renta y complementarios, serán aplicables a las siguientes personas en calidad de sujetos obligados: (…) f) Las personas naturales y jurídicas, públicas o privadas, que presten función pública, que presten servicios públicos respecto de la información directamente relacionada con la prestación del servicio público;</w:t>
      </w:r>
      <w:r w:rsidR="00873E7D" w:rsidRPr="0098574C">
        <w:rPr>
          <w:rFonts w:ascii="Arial" w:hAnsi="Arial" w:cs="Arial"/>
          <w:sz w:val="24"/>
          <w:szCs w:val="24"/>
        </w:rPr>
        <w:t>”</w:t>
      </w:r>
      <w:r w:rsidR="00CA2B42">
        <w:rPr>
          <w:rFonts w:ascii="Arial" w:hAnsi="Arial" w:cs="Arial"/>
          <w:sz w:val="24"/>
          <w:szCs w:val="24"/>
        </w:rPr>
        <w:t xml:space="preserve"> sugerimos al peticionario consultar la página</w:t>
      </w:r>
      <w:r w:rsidR="00A13F0F">
        <w:rPr>
          <w:rFonts w:ascii="Arial" w:hAnsi="Arial" w:cs="Arial"/>
          <w:sz w:val="24"/>
          <w:szCs w:val="24"/>
        </w:rPr>
        <w:t xml:space="preserve"> web</w:t>
      </w:r>
      <w:r w:rsidR="00CA2B42">
        <w:rPr>
          <w:rFonts w:ascii="Arial" w:hAnsi="Arial" w:cs="Arial"/>
          <w:sz w:val="24"/>
          <w:szCs w:val="24"/>
        </w:rPr>
        <w:t xml:space="preserve"> de</w:t>
      </w:r>
      <w:r w:rsidR="00A13F0F">
        <w:rPr>
          <w:rFonts w:ascii="Arial" w:hAnsi="Arial" w:cs="Arial"/>
          <w:sz w:val="24"/>
          <w:szCs w:val="24"/>
        </w:rPr>
        <w:t xml:space="preserve"> </w:t>
      </w:r>
      <w:r w:rsidR="00CA2B42">
        <w:rPr>
          <w:rFonts w:ascii="Arial" w:hAnsi="Arial" w:cs="Arial"/>
          <w:sz w:val="24"/>
          <w:szCs w:val="24"/>
        </w:rPr>
        <w:t>l</w:t>
      </w:r>
      <w:r w:rsidR="00A13F0F">
        <w:rPr>
          <w:rFonts w:ascii="Arial" w:hAnsi="Arial" w:cs="Arial"/>
          <w:sz w:val="24"/>
          <w:szCs w:val="24"/>
        </w:rPr>
        <w:t>a</w:t>
      </w:r>
      <w:r w:rsidR="00CA2B42">
        <w:rPr>
          <w:rFonts w:ascii="Arial" w:hAnsi="Arial" w:cs="Arial"/>
          <w:sz w:val="24"/>
          <w:szCs w:val="24"/>
        </w:rPr>
        <w:t xml:space="preserve"> Entidad encargada del manejo </w:t>
      </w:r>
      <w:r w:rsidR="00A13F0F">
        <w:rPr>
          <w:rFonts w:ascii="Arial" w:hAnsi="Arial" w:cs="Arial"/>
          <w:sz w:val="24"/>
          <w:szCs w:val="24"/>
        </w:rPr>
        <w:t>de e</w:t>
      </w:r>
      <w:r w:rsidR="00940EF1">
        <w:rPr>
          <w:rFonts w:ascii="Arial" w:hAnsi="Arial" w:cs="Arial"/>
          <w:sz w:val="24"/>
          <w:szCs w:val="24"/>
        </w:rPr>
        <w:t xml:space="preserve">sta </w:t>
      </w:r>
      <w:r w:rsidR="00A13F0F">
        <w:rPr>
          <w:rFonts w:ascii="Arial" w:hAnsi="Arial" w:cs="Arial"/>
          <w:sz w:val="24"/>
          <w:szCs w:val="24"/>
        </w:rPr>
        <w:t xml:space="preserve"> información</w:t>
      </w:r>
      <w:r w:rsidR="00940EF1">
        <w:rPr>
          <w:rFonts w:ascii="Arial" w:hAnsi="Arial" w:cs="Arial"/>
          <w:sz w:val="24"/>
          <w:szCs w:val="24"/>
        </w:rPr>
        <w:t>, toda vez que allí encontrará los documentos requeridos.</w:t>
      </w:r>
    </w:p>
    <w:p w14:paraId="44ECF3A3" w14:textId="77777777" w:rsidR="00940EF1" w:rsidRDefault="00940EF1" w:rsidP="00940EF1">
      <w:pPr>
        <w:widowControl/>
        <w:autoSpaceDE/>
        <w:autoSpaceDN/>
        <w:spacing w:line="276" w:lineRule="auto"/>
        <w:jc w:val="both"/>
        <w:rPr>
          <w:rStyle w:val="Textoennegrita"/>
          <w:rFonts w:ascii="Arial" w:hAnsi="Arial" w:cs="Arial"/>
          <w:color w:val="000000"/>
          <w:sz w:val="24"/>
          <w:szCs w:val="24"/>
        </w:rPr>
      </w:pPr>
    </w:p>
    <w:p w14:paraId="39AAAC45" w14:textId="58005E80" w:rsidR="00A8319E" w:rsidRDefault="00940EF1" w:rsidP="00940EF1">
      <w:pPr>
        <w:widowControl/>
        <w:autoSpaceDE/>
        <w:autoSpaceDN/>
        <w:spacing w:line="276" w:lineRule="auto"/>
        <w:jc w:val="both"/>
        <w:rPr>
          <w:rFonts w:ascii="Arial" w:hAnsi="Arial" w:cs="Arial"/>
          <w:sz w:val="24"/>
          <w:szCs w:val="24"/>
          <w:lang w:val="es-CO"/>
        </w:rPr>
      </w:pPr>
      <w:r w:rsidRPr="00940EF1">
        <w:rPr>
          <w:rFonts w:ascii="Arial" w:hAnsi="Arial" w:cs="Arial"/>
          <w:sz w:val="24"/>
          <w:szCs w:val="24"/>
          <w:lang w:val="es-CO"/>
        </w:rPr>
        <w:t>En ese sentido, y en virtud del artículo 14 de la Ley 1437 de 2011, modificado por el artículo 1 de la ley 1755 de 2015, se da respuesta a la Petición brindando la información solicitada por el peticionario</w:t>
      </w:r>
      <w:r>
        <w:rPr>
          <w:rFonts w:ascii="Arial" w:hAnsi="Arial" w:cs="Arial"/>
          <w:sz w:val="24"/>
          <w:szCs w:val="24"/>
          <w:lang w:val="es-CO"/>
        </w:rPr>
        <w:t>.</w:t>
      </w:r>
    </w:p>
    <w:p w14:paraId="21364904" w14:textId="77777777" w:rsidR="00940EF1" w:rsidRPr="00940EF1" w:rsidRDefault="00940EF1" w:rsidP="00940EF1">
      <w:pPr>
        <w:widowControl/>
        <w:autoSpaceDE/>
        <w:autoSpaceDN/>
        <w:spacing w:line="276" w:lineRule="auto"/>
        <w:jc w:val="both"/>
        <w:rPr>
          <w:rFonts w:ascii="Arial" w:hAnsi="Arial" w:cs="Arial"/>
          <w:b/>
          <w:bCs/>
          <w:color w:val="000000"/>
          <w:sz w:val="24"/>
          <w:szCs w:val="24"/>
        </w:rPr>
      </w:pPr>
    </w:p>
    <w:p w14:paraId="769EC187" w14:textId="3D59D0C3" w:rsidR="002B7920" w:rsidRPr="0098574C" w:rsidRDefault="00A8319E" w:rsidP="0052507C">
      <w:pPr>
        <w:jc w:val="both"/>
        <w:rPr>
          <w:rFonts w:ascii="Arial" w:hAnsi="Arial" w:cs="Arial"/>
          <w:sz w:val="24"/>
          <w:szCs w:val="24"/>
          <w:lang w:val="es-CO"/>
        </w:rPr>
      </w:pPr>
      <w:r w:rsidRPr="0098574C">
        <w:rPr>
          <w:rFonts w:ascii="Arial" w:hAnsi="Arial" w:cs="Arial"/>
          <w:sz w:val="24"/>
          <w:szCs w:val="24"/>
          <w:lang w:val="es-CO"/>
        </w:rPr>
        <w:t>Atentamente</w:t>
      </w:r>
      <w:r w:rsidR="002B7920" w:rsidRPr="0098574C">
        <w:rPr>
          <w:rFonts w:ascii="Arial" w:hAnsi="Arial" w:cs="Arial"/>
          <w:sz w:val="24"/>
          <w:szCs w:val="24"/>
          <w:lang w:val="es-CO"/>
        </w:rPr>
        <w:t>,</w:t>
      </w:r>
    </w:p>
    <w:p w14:paraId="370DE8AD" w14:textId="4CF4E5AD" w:rsidR="002B7920" w:rsidRPr="0098574C" w:rsidRDefault="002B7920" w:rsidP="0052507C">
      <w:pPr>
        <w:jc w:val="both"/>
        <w:rPr>
          <w:rFonts w:ascii="Arial" w:hAnsi="Arial" w:cs="Arial"/>
          <w:sz w:val="24"/>
          <w:szCs w:val="24"/>
          <w:lang w:val="es-CO"/>
        </w:rPr>
      </w:pPr>
    </w:p>
    <w:p w14:paraId="4C730E89" w14:textId="750183F8" w:rsidR="002B7920" w:rsidRPr="0098574C" w:rsidRDefault="002B7920" w:rsidP="0052507C">
      <w:pPr>
        <w:jc w:val="both"/>
        <w:rPr>
          <w:rFonts w:ascii="Arial" w:hAnsi="Arial" w:cs="Arial"/>
          <w:sz w:val="24"/>
          <w:szCs w:val="24"/>
          <w:lang w:val="es-CO"/>
        </w:rPr>
      </w:pPr>
    </w:p>
    <w:p w14:paraId="5630B801" w14:textId="73B7D897" w:rsidR="002B7920" w:rsidRPr="0098574C" w:rsidRDefault="002B7920" w:rsidP="002B7920">
      <w:pPr>
        <w:jc w:val="center"/>
        <w:rPr>
          <w:rFonts w:ascii="Arial" w:hAnsi="Arial" w:cs="Arial"/>
          <w:b/>
          <w:bCs/>
          <w:sz w:val="24"/>
          <w:szCs w:val="24"/>
          <w:highlight w:val="yellow"/>
          <w:lang w:val="es-CO"/>
        </w:rPr>
      </w:pPr>
      <w:r w:rsidRPr="0098574C">
        <w:rPr>
          <w:rFonts w:ascii="Arial" w:hAnsi="Arial" w:cs="Arial"/>
          <w:b/>
          <w:bCs/>
          <w:sz w:val="24"/>
          <w:szCs w:val="24"/>
          <w:highlight w:val="yellow"/>
          <w:lang w:val="es-CO"/>
        </w:rPr>
        <w:t xml:space="preserve">Nombre del Notario </w:t>
      </w:r>
    </w:p>
    <w:p w14:paraId="6EFD037A" w14:textId="3602FE65" w:rsidR="002B7920" w:rsidRPr="0098574C" w:rsidRDefault="002B7920" w:rsidP="002B7920">
      <w:pPr>
        <w:jc w:val="center"/>
        <w:rPr>
          <w:rFonts w:ascii="Arial" w:hAnsi="Arial" w:cs="Arial"/>
          <w:sz w:val="24"/>
          <w:szCs w:val="24"/>
          <w:lang w:val="es-CO"/>
        </w:rPr>
      </w:pPr>
      <w:r w:rsidRPr="0098574C">
        <w:rPr>
          <w:rFonts w:ascii="Arial" w:hAnsi="Arial" w:cs="Arial"/>
          <w:sz w:val="24"/>
          <w:szCs w:val="24"/>
          <w:highlight w:val="yellow"/>
          <w:lang w:val="es-CO"/>
        </w:rPr>
        <w:t>Círculo Notarial</w:t>
      </w:r>
      <w:r w:rsidRPr="0098574C">
        <w:rPr>
          <w:rFonts w:ascii="Arial" w:hAnsi="Arial" w:cs="Arial"/>
          <w:sz w:val="24"/>
          <w:szCs w:val="24"/>
          <w:lang w:val="es-CO"/>
        </w:rPr>
        <w:t xml:space="preserve"> </w:t>
      </w:r>
    </w:p>
    <w:sectPr w:rsidR="002B7920" w:rsidRPr="0098574C" w:rsidSect="00940EF1">
      <w:footerReference w:type="default" r:id="rId11"/>
      <w:pgSz w:w="12240" w:h="15840"/>
      <w:pgMar w:top="1701" w:right="1701" w:bottom="1701"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D735E2" w14:textId="77777777" w:rsidR="006F4915" w:rsidRDefault="006F4915" w:rsidP="00C0503E">
      <w:r>
        <w:separator/>
      </w:r>
    </w:p>
  </w:endnote>
  <w:endnote w:type="continuationSeparator" w:id="0">
    <w:p w14:paraId="7688955B" w14:textId="77777777" w:rsidR="006F4915" w:rsidRDefault="006F4915" w:rsidP="00C050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10269578"/>
      <w:docPartObj>
        <w:docPartGallery w:val="Page Numbers (Bottom of Page)"/>
        <w:docPartUnique/>
      </w:docPartObj>
    </w:sdtPr>
    <w:sdtEndPr/>
    <w:sdtContent>
      <w:p w14:paraId="1388F363" w14:textId="77AEF906" w:rsidR="0030641D" w:rsidRDefault="0030641D">
        <w:pPr>
          <w:pStyle w:val="Piedepgina"/>
          <w:jc w:val="center"/>
        </w:pPr>
        <w:r>
          <w:fldChar w:fldCharType="begin"/>
        </w:r>
        <w:r>
          <w:instrText>PAGE   \* MERGEFORMAT</w:instrText>
        </w:r>
        <w:r>
          <w:fldChar w:fldCharType="separate"/>
        </w:r>
        <w:r>
          <w:t>2</w:t>
        </w:r>
        <w:r>
          <w:fldChar w:fldCharType="end"/>
        </w:r>
      </w:p>
    </w:sdtContent>
  </w:sdt>
  <w:p w14:paraId="16207FA7" w14:textId="77777777" w:rsidR="0030641D" w:rsidRDefault="0030641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0B89D7" w14:textId="77777777" w:rsidR="006F4915" w:rsidRDefault="006F4915" w:rsidP="00C0503E">
      <w:r>
        <w:separator/>
      </w:r>
    </w:p>
  </w:footnote>
  <w:footnote w:type="continuationSeparator" w:id="0">
    <w:p w14:paraId="51B329E4" w14:textId="77777777" w:rsidR="006F4915" w:rsidRDefault="006F4915" w:rsidP="00C0503E">
      <w:r>
        <w:continuationSeparator/>
      </w:r>
    </w:p>
  </w:footnote>
  <w:footnote w:id="1">
    <w:p w14:paraId="32611552" w14:textId="2FF3BA66" w:rsidR="00E926AD" w:rsidRPr="007F5763" w:rsidRDefault="00E926AD">
      <w:pPr>
        <w:pStyle w:val="Textonotapie"/>
        <w:rPr>
          <w:rFonts w:ascii="Arial" w:hAnsi="Arial" w:cs="Arial"/>
          <w:sz w:val="16"/>
          <w:szCs w:val="16"/>
          <w:lang w:val="es-CO"/>
        </w:rPr>
      </w:pPr>
      <w:r w:rsidRPr="007F5763">
        <w:rPr>
          <w:rStyle w:val="Refdenotaalpie"/>
          <w:sz w:val="16"/>
          <w:szCs w:val="16"/>
        </w:rPr>
        <w:footnoteRef/>
      </w:r>
      <w:r w:rsidRPr="007F5763">
        <w:rPr>
          <w:sz w:val="16"/>
          <w:szCs w:val="16"/>
        </w:rPr>
        <w:t xml:space="preserve"> </w:t>
      </w:r>
      <w:r w:rsidRPr="007F5763">
        <w:rPr>
          <w:rFonts w:ascii="Arial" w:hAnsi="Arial" w:cs="Arial"/>
          <w:sz w:val="16"/>
          <w:szCs w:val="16"/>
          <w:lang w:val="es-CO"/>
        </w:rPr>
        <w:t xml:space="preserve">CONSEJO DE ESTADO. Sala de Consulta </w:t>
      </w:r>
      <w:r w:rsidR="00717BA4" w:rsidRPr="007F5763">
        <w:rPr>
          <w:rFonts w:ascii="Arial" w:hAnsi="Arial" w:cs="Arial"/>
          <w:sz w:val="16"/>
          <w:szCs w:val="16"/>
          <w:lang w:val="es-CO"/>
        </w:rPr>
        <w:t xml:space="preserve">y Servicio Civil - Rad. No: 11001-03-06-000-2007-00027-00(1818). (C.P. Gustavo Aponte Santos; </w:t>
      </w:r>
      <w:r w:rsidR="00FA57E4" w:rsidRPr="007F5763">
        <w:rPr>
          <w:rFonts w:ascii="Arial" w:hAnsi="Arial" w:cs="Arial"/>
          <w:sz w:val="16"/>
          <w:szCs w:val="16"/>
          <w:lang w:val="es-CO"/>
        </w:rPr>
        <w:t>17 de mayo de 2007).</w:t>
      </w:r>
    </w:p>
  </w:footnote>
  <w:footnote w:id="2">
    <w:p w14:paraId="0EC429E9" w14:textId="5AEC877C" w:rsidR="00EC50E6" w:rsidRPr="007F5763" w:rsidRDefault="00EC50E6">
      <w:pPr>
        <w:pStyle w:val="Textonotapie"/>
        <w:rPr>
          <w:rFonts w:ascii="Arial" w:hAnsi="Arial" w:cs="Arial"/>
          <w:sz w:val="16"/>
          <w:szCs w:val="16"/>
        </w:rPr>
      </w:pPr>
      <w:r w:rsidRPr="007F5763">
        <w:rPr>
          <w:rStyle w:val="Refdenotaalpie"/>
          <w:sz w:val="16"/>
          <w:szCs w:val="16"/>
        </w:rPr>
        <w:footnoteRef/>
      </w:r>
      <w:r w:rsidRPr="007F5763">
        <w:rPr>
          <w:sz w:val="16"/>
          <w:szCs w:val="16"/>
        </w:rPr>
        <w:t xml:space="preserve"> </w:t>
      </w:r>
      <w:r w:rsidR="00FE37CF" w:rsidRPr="007F5763">
        <w:rPr>
          <w:rFonts w:ascii="Arial" w:hAnsi="Arial" w:cs="Arial"/>
          <w:sz w:val="16"/>
          <w:szCs w:val="16"/>
        </w:rPr>
        <w:t>CORTE CONSTITUCIONAL DE COLOMBIA. Sentencia C-438 de 2017 (M.P.</w:t>
      </w:r>
      <w:r w:rsidR="008F763F" w:rsidRPr="007F5763">
        <w:rPr>
          <w:sz w:val="16"/>
          <w:szCs w:val="16"/>
        </w:rPr>
        <w:t xml:space="preserve"> </w:t>
      </w:r>
      <w:r w:rsidR="008F763F" w:rsidRPr="007F5763">
        <w:rPr>
          <w:rFonts w:ascii="Arial" w:hAnsi="Arial" w:cs="Arial"/>
          <w:sz w:val="16"/>
          <w:szCs w:val="16"/>
        </w:rPr>
        <w:t>Gloria Stella Ortiz Delgado: Julio</w:t>
      </w:r>
      <w:r w:rsidR="008F763F" w:rsidRPr="007F5763">
        <w:rPr>
          <w:sz w:val="16"/>
          <w:szCs w:val="16"/>
        </w:rPr>
        <w:t xml:space="preserve"> </w:t>
      </w:r>
      <w:r w:rsidR="008F763F" w:rsidRPr="007F5763">
        <w:rPr>
          <w:rFonts w:ascii="Arial" w:hAnsi="Arial" w:cs="Arial"/>
          <w:sz w:val="16"/>
          <w:szCs w:val="16"/>
        </w:rPr>
        <w:t xml:space="preserve">13 de 2017). </w:t>
      </w:r>
    </w:p>
  </w:footnote>
  <w:footnote w:id="3">
    <w:p w14:paraId="69F1125D" w14:textId="2A9F352B" w:rsidR="00D2316B" w:rsidRPr="00D2316B" w:rsidRDefault="00D2316B">
      <w:pPr>
        <w:pStyle w:val="Textonotapie"/>
        <w:rPr>
          <w:lang w:val="es-CO"/>
        </w:rPr>
      </w:pPr>
      <w:r w:rsidRPr="007F5763">
        <w:rPr>
          <w:rStyle w:val="Refdenotaalpie"/>
          <w:sz w:val="16"/>
          <w:szCs w:val="16"/>
        </w:rPr>
        <w:footnoteRef/>
      </w:r>
      <w:r w:rsidRPr="007F5763">
        <w:rPr>
          <w:sz w:val="16"/>
          <w:szCs w:val="16"/>
        </w:rPr>
        <w:t xml:space="preserve"> </w:t>
      </w:r>
      <w:r w:rsidRPr="007F5763">
        <w:rPr>
          <w:rFonts w:ascii="Arial" w:hAnsi="Arial" w:cs="Arial"/>
          <w:sz w:val="16"/>
          <w:szCs w:val="16"/>
          <w:lang w:val="es-CO"/>
        </w:rPr>
        <w:t>Constitución Política de Colombia. Artículo 15. Julio 7 de 1991</w:t>
      </w:r>
      <w:r w:rsidR="007F5763" w:rsidRPr="007F5763">
        <w:rPr>
          <w:rFonts w:ascii="Arial" w:hAnsi="Arial" w:cs="Arial"/>
          <w:sz w:val="16"/>
          <w:szCs w:val="16"/>
          <w:lang w:val="es-CO"/>
        </w:rPr>
        <w:t xml:space="preserve"> (Colombia) 2da Ed. Editorial Legis.</w:t>
      </w:r>
    </w:p>
  </w:footnote>
  <w:footnote w:id="4">
    <w:p w14:paraId="6BD73110" w14:textId="00D79908" w:rsidR="00E717DB" w:rsidRPr="008869E6" w:rsidRDefault="00E717DB">
      <w:pPr>
        <w:pStyle w:val="Textonotapie"/>
        <w:rPr>
          <w:rFonts w:ascii="Arial" w:hAnsi="Arial" w:cs="Arial"/>
          <w:sz w:val="16"/>
          <w:szCs w:val="16"/>
          <w:lang w:val="es-CO"/>
        </w:rPr>
      </w:pPr>
      <w:r>
        <w:rPr>
          <w:rStyle w:val="Refdenotaalpie"/>
        </w:rPr>
        <w:footnoteRef/>
      </w:r>
      <w:r>
        <w:t xml:space="preserve"> </w:t>
      </w:r>
      <w:r w:rsidRPr="008869E6">
        <w:rPr>
          <w:rFonts w:ascii="Arial" w:hAnsi="Arial" w:cs="Arial"/>
          <w:sz w:val="16"/>
          <w:szCs w:val="16"/>
          <w:lang w:val="es-CO"/>
        </w:rPr>
        <w:t xml:space="preserve">Corte Constitucional de Colombia. </w:t>
      </w:r>
      <w:r w:rsidR="008869E6" w:rsidRPr="008869E6">
        <w:rPr>
          <w:rFonts w:ascii="Arial" w:hAnsi="Arial" w:cs="Arial"/>
          <w:sz w:val="16"/>
          <w:szCs w:val="16"/>
          <w:lang w:val="es-CO"/>
        </w:rPr>
        <w:t>Sentencia T-364/18</w:t>
      </w:r>
      <w:r w:rsidR="008869E6">
        <w:rPr>
          <w:rFonts w:ascii="Arial" w:hAnsi="Arial" w:cs="Arial"/>
          <w:sz w:val="16"/>
          <w:szCs w:val="16"/>
          <w:lang w:val="es-CO"/>
        </w:rPr>
        <w:t xml:space="preserve"> (M.P.</w:t>
      </w:r>
      <w:r w:rsidR="008869E6" w:rsidRPr="008869E6">
        <w:t xml:space="preserve"> </w:t>
      </w:r>
      <w:r w:rsidR="008869E6" w:rsidRPr="008869E6">
        <w:rPr>
          <w:rFonts w:ascii="Arial" w:hAnsi="Arial" w:cs="Arial"/>
          <w:sz w:val="16"/>
          <w:szCs w:val="16"/>
          <w:lang w:val="es-CO"/>
        </w:rPr>
        <w:t>Alberto Rojas Ríos</w:t>
      </w:r>
      <w:r w:rsidR="008869E6">
        <w:rPr>
          <w:rFonts w:ascii="Arial" w:hAnsi="Arial" w:cs="Arial"/>
          <w:sz w:val="16"/>
          <w:szCs w:val="16"/>
          <w:lang w:val="es-CO"/>
        </w:rPr>
        <w:t xml:space="preserve">: Septiembre 4 de 2018).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B10884"/>
    <w:multiLevelType w:val="hybridMultilevel"/>
    <w:tmpl w:val="5F1AD3E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260B2C7E"/>
    <w:multiLevelType w:val="hybridMultilevel"/>
    <w:tmpl w:val="E0CEF946"/>
    <w:lvl w:ilvl="0" w:tplc="63FE9516">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361E5FE8"/>
    <w:multiLevelType w:val="hybridMultilevel"/>
    <w:tmpl w:val="10F03BE2"/>
    <w:lvl w:ilvl="0" w:tplc="AE5A2972">
      <w:start w:val="1"/>
      <w:numFmt w:val="lowerLetter"/>
      <w:lvlText w:val="%1)"/>
      <w:lvlJc w:val="left"/>
      <w:pPr>
        <w:ind w:left="429" w:hanging="326"/>
      </w:pPr>
      <w:rPr>
        <w:rFonts w:ascii="Cambria" w:eastAsia="Cambria" w:hAnsi="Cambria" w:cs="Cambria" w:hint="default"/>
        <w:b/>
        <w:bCs/>
        <w:w w:val="99"/>
        <w:sz w:val="28"/>
        <w:szCs w:val="28"/>
        <w:lang w:val="es-ES" w:eastAsia="en-US" w:bidi="ar-SA"/>
      </w:rPr>
    </w:lvl>
    <w:lvl w:ilvl="1" w:tplc="55D41882">
      <w:numFmt w:val="bullet"/>
      <w:lvlText w:val="•"/>
      <w:lvlJc w:val="left"/>
      <w:pPr>
        <w:ind w:left="1284" w:hanging="326"/>
      </w:pPr>
      <w:rPr>
        <w:rFonts w:hint="default"/>
        <w:lang w:val="es-ES" w:eastAsia="en-US" w:bidi="ar-SA"/>
      </w:rPr>
    </w:lvl>
    <w:lvl w:ilvl="2" w:tplc="9B3E164C">
      <w:numFmt w:val="bullet"/>
      <w:lvlText w:val="•"/>
      <w:lvlJc w:val="left"/>
      <w:pPr>
        <w:ind w:left="2148" w:hanging="326"/>
      </w:pPr>
      <w:rPr>
        <w:rFonts w:hint="default"/>
        <w:lang w:val="es-ES" w:eastAsia="en-US" w:bidi="ar-SA"/>
      </w:rPr>
    </w:lvl>
    <w:lvl w:ilvl="3" w:tplc="A25E7E0C">
      <w:numFmt w:val="bullet"/>
      <w:lvlText w:val="•"/>
      <w:lvlJc w:val="left"/>
      <w:pPr>
        <w:ind w:left="3012" w:hanging="326"/>
      </w:pPr>
      <w:rPr>
        <w:rFonts w:hint="default"/>
        <w:lang w:val="es-ES" w:eastAsia="en-US" w:bidi="ar-SA"/>
      </w:rPr>
    </w:lvl>
    <w:lvl w:ilvl="4" w:tplc="F8CC5FF2">
      <w:numFmt w:val="bullet"/>
      <w:lvlText w:val="•"/>
      <w:lvlJc w:val="left"/>
      <w:pPr>
        <w:ind w:left="3876" w:hanging="326"/>
      </w:pPr>
      <w:rPr>
        <w:rFonts w:hint="default"/>
        <w:lang w:val="es-ES" w:eastAsia="en-US" w:bidi="ar-SA"/>
      </w:rPr>
    </w:lvl>
    <w:lvl w:ilvl="5" w:tplc="4A38A122">
      <w:numFmt w:val="bullet"/>
      <w:lvlText w:val="•"/>
      <w:lvlJc w:val="left"/>
      <w:pPr>
        <w:ind w:left="4740" w:hanging="326"/>
      </w:pPr>
      <w:rPr>
        <w:rFonts w:hint="default"/>
        <w:lang w:val="es-ES" w:eastAsia="en-US" w:bidi="ar-SA"/>
      </w:rPr>
    </w:lvl>
    <w:lvl w:ilvl="6" w:tplc="184ED6D2">
      <w:numFmt w:val="bullet"/>
      <w:lvlText w:val="•"/>
      <w:lvlJc w:val="left"/>
      <w:pPr>
        <w:ind w:left="5604" w:hanging="326"/>
      </w:pPr>
      <w:rPr>
        <w:rFonts w:hint="default"/>
        <w:lang w:val="es-ES" w:eastAsia="en-US" w:bidi="ar-SA"/>
      </w:rPr>
    </w:lvl>
    <w:lvl w:ilvl="7" w:tplc="B7747648">
      <w:numFmt w:val="bullet"/>
      <w:lvlText w:val="•"/>
      <w:lvlJc w:val="left"/>
      <w:pPr>
        <w:ind w:left="6468" w:hanging="326"/>
      </w:pPr>
      <w:rPr>
        <w:rFonts w:hint="default"/>
        <w:lang w:val="es-ES" w:eastAsia="en-US" w:bidi="ar-SA"/>
      </w:rPr>
    </w:lvl>
    <w:lvl w:ilvl="8" w:tplc="2CAC3E1C">
      <w:numFmt w:val="bullet"/>
      <w:lvlText w:val="•"/>
      <w:lvlJc w:val="left"/>
      <w:pPr>
        <w:ind w:left="7332" w:hanging="326"/>
      </w:pPr>
      <w:rPr>
        <w:rFonts w:hint="default"/>
        <w:lang w:val="es-ES" w:eastAsia="en-US" w:bidi="ar-SA"/>
      </w:rPr>
    </w:lvl>
  </w:abstractNum>
  <w:abstractNum w:abstractNumId="3" w15:restartNumberingAfterBreak="0">
    <w:nsid w:val="51EF070B"/>
    <w:multiLevelType w:val="hybridMultilevel"/>
    <w:tmpl w:val="F4D085AC"/>
    <w:lvl w:ilvl="0" w:tplc="E6AC0200">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771390162">
    <w:abstractNumId w:val="2"/>
  </w:num>
  <w:num w:numId="2" w16cid:durableId="693268336">
    <w:abstractNumId w:val="3"/>
  </w:num>
  <w:num w:numId="3" w16cid:durableId="411583880">
    <w:abstractNumId w:val="1"/>
  </w:num>
  <w:num w:numId="4" w16cid:durableId="176969793">
    <w:abstractNumId w:val="0"/>
  </w:num>
  <w:num w:numId="5" w16cid:durableId="90283024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503E"/>
    <w:rsid w:val="0001621A"/>
    <w:rsid w:val="00072F4F"/>
    <w:rsid w:val="00087D9A"/>
    <w:rsid w:val="0009441B"/>
    <w:rsid w:val="000C1544"/>
    <w:rsid w:val="000F38CB"/>
    <w:rsid w:val="00174FBD"/>
    <w:rsid w:val="001C7762"/>
    <w:rsid w:val="002079CA"/>
    <w:rsid w:val="00214F88"/>
    <w:rsid w:val="00225414"/>
    <w:rsid w:val="00235D2F"/>
    <w:rsid w:val="00242961"/>
    <w:rsid w:val="002B2D82"/>
    <w:rsid w:val="002B7920"/>
    <w:rsid w:val="002C704C"/>
    <w:rsid w:val="002F10DB"/>
    <w:rsid w:val="002F3F22"/>
    <w:rsid w:val="00302C85"/>
    <w:rsid w:val="0030641D"/>
    <w:rsid w:val="00322104"/>
    <w:rsid w:val="003244D4"/>
    <w:rsid w:val="0034714B"/>
    <w:rsid w:val="003602DB"/>
    <w:rsid w:val="003670A1"/>
    <w:rsid w:val="003A5FB0"/>
    <w:rsid w:val="003B3323"/>
    <w:rsid w:val="004526FA"/>
    <w:rsid w:val="004754A0"/>
    <w:rsid w:val="004D3360"/>
    <w:rsid w:val="004D6209"/>
    <w:rsid w:val="0052507C"/>
    <w:rsid w:val="00525F66"/>
    <w:rsid w:val="005A2F7A"/>
    <w:rsid w:val="005B0E91"/>
    <w:rsid w:val="0063727F"/>
    <w:rsid w:val="006F4915"/>
    <w:rsid w:val="00717BA4"/>
    <w:rsid w:val="007B1034"/>
    <w:rsid w:val="007D7079"/>
    <w:rsid w:val="007F5763"/>
    <w:rsid w:val="008702E4"/>
    <w:rsid w:val="00873E7D"/>
    <w:rsid w:val="008869E6"/>
    <w:rsid w:val="00886AF2"/>
    <w:rsid w:val="008B5EB4"/>
    <w:rsid w:val="008F763F"/>
    <w:rsid w:val="0090548B"/>
    <w:rsid w:val="00940EF1"/>
    <w:rsid w:val="00961846"/>
    <w:rsid w:val="00962BAE"/>
    <w:rsid w:val="0098574C"/>
    <w:rsid w:val="00997BDA"/>
    <w:rsid w:val="00A13F0F"/>
    <w:rsid w:val="00A16CF3"/>
    <w:rsid w:val="00A3742F"/>
    <w:rsid w:val="00A75FFE"/>
    <w:rsid w:val="00A8319E"/>
    <w:rsid w:val="00AA6997"/>
    <w:rsid w:val="00AB3E36"/>
    <w:rsid w:val="00AD5B46"/>
    <w:rsid w:val="00BD51CB"/>
    <w:rsid w:val="00BE6A3D"/>
    <w:rsid w:val="00C0503E"/>
    <w:rsid w:val="00C06598"/>
    <w:rsid w:val="00C66656"/>
    <w:rsid w:val="00C723B7"/>
    <w:rsid w:val="00C73045"/>
    <w:rsid w:val="00C76DEF"/>
    <w:rsid w:val="00CA2B42"/>
    <w:rsid w:val="00CA364C"/>
    <w:rsid w:val="00CB3A51"/>
    <w:rsid w:val="00CB7683"/>
    <w:rsid w:val="00CD0F7E"/>
    <w:rsid w:val="00D2316B"/>
    <w:rsid w:val="00D42BB5"/>
    <w:rsid w:val="00E21524"/>
    <w:rsid w:val="00E717DB"/>
    <w:rsid w:val="00E878B0"/>
    <w:rsid w:val="00E926AD"/>
    <w:rsid w:val="00EA14A0"/>
    <w:rsid w:val="00EA4994"/>
    <w:rsid w:val="00EC50E6"/>
    <w:rsid w:val="00EE77E7"/>
    <w:rsid w:val="00F51651"/>
    <w:rsid w:val="00F53B87"/>
    <w:rsid w:val="00F94E59"/>
    <w:rsid w:val="00FA5170"/>
    <w:rsid w:val="00FA57E4"/>
    <w:rsid w:val="00FA7938"/>
    <w:rsid w:val="00FD0837"/>
    <w:rsid w:val="00FE37CF"/>
    <w:rsid w:val="00FF2E2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DD4D50"/>
  <w15:chartTrackingRefBased/>
  <w15:docId w15:val="{31C3F05A-46FA-4774-8FAB-28FA2241A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503E"/>
    <w:pPr>
      <w:widowControl w:val="0"/>
      <w:autoSpaceDE w:val="0"/>
      <w:autoSpaceDN w:val="0"/>
      <w:spacing w:after="0" w:line="240" w:lineRule="auto"/>
    </w:pPr>
    <w:rPr>
      <w:rFonts w:ascii="Cambria" w:eastAsia="Cambria" w:hAnsi="Cambria" w:cs="Cambria"/>
      <w:lang w:val="es-ES"/>
    </w:rPr>
  </w:style>
  <w:style w:type="paragraph" w:styleId="Ttulo1">
    <w:name w:val="heading 1"/>
    <w:basedOn w:val="Normal"/>
    <w:link w:val="Ttulo1Car"/>
    <w:uiPriority w:val="9"/>
    <w:qFormat/>
    <w:rsid w:val="00C0503E"/>
    <w:pPr>
      <w:ind w:left="103" w:right="116"/>
      <w:outlineLvl w:val="0"/>
    </w:pPr>
    <w:rPr>
      <w:b/>
      <w:b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0503E"/>
    <w:rPr>
      <w:rFonts w:ascii="Cambria" w:eastAsia="Cambria" w:hAnsi="Cambria" w:cs="Cambria"/>
      <w:b/>
      <w:bCs/>
      <w:sz w:val="28"/>
      <w:szCs w:val="28"/>
      <w:lang w:val="es-ES"/>
    </w:rPr>
  </w:style>
  <w:style w:type="paragraph" w:styleId="Textoindependiente">
    <w:name w:val="Body Text"/>
    <w:basedOn w:val="Normal"/>
    <w:link w:val="TextoindependienteCar"/>
    <w:uiPriority w:val="1"/>
    <w:qFormat/>
    <w:rsid w:val="00C0503E"/>
    <w:rPr>
      <w:sz w:val="28"/>
      <w:szCs w:val="28"/>
    </w:rPr>
  </w:style>
  <w:style w:type="character" w:customStyle="1" w:styleId="TextoindependienteCar">
    <w:name w:val="Texto independiente Car"/>
    <w:basedOn w:val="Fuentedeprrafopredeter"/>
    <w:link w:val="Textoindependiente"/>
    <w:uiPriority w:val="1"/>
    <w:rsid w:val="00C0503E"/>
    <w:rPr>
      <w:rFonts w:ascii="Cambria" w:eastAsia="Cambria" w:hAnsi="Cambria" w:cs="Cambria"/>
      <w:sz w:val="28"/>
      <w:szCs w:val="28"/>
      <w:lang w:val="es-ES"/>
    </w:rPr>
  </w:style>
  <w:style w:type="paragraph" w:styleId="Encabezado">
    <w:name w:val="header"/>
    <w:basedOn w:val="Normal"/>
    <w:link w:val="EncabezadoCar"/>
    <w:uiPriority w:val="99"/>
    <w:unhideWhenUsed/>
    <w:rsid w:val="00C0503E"/>
    <w:pPr>
      <w:tabs>
        <w:tab w:val="center" w:pos="4419"/>
        <w:tab w:val="right" w:pos="8838"/>
      </w:tabs>
    </w:pPr>
  </w:style>
  <w:style w:type="character" w:customStyle="1" w:styleId="EncabezadoCar">
    <w:name w:val="Encabezado Car"/>
    <w:basedOn w:val="Fuentedeprrafopredeter"/>
    <w:link w:val="Encabezado"/>
    <w:uiPriority w:val="99"/>
    <w:rsid w:val="00C0503E"/>
    <w:rPr>
      <w:rFonts w:ascii="Cambria" w:eastAsia="Cambria" w:hAnsi="Cambria" w:cs="Cambria"/>
      <w:lang w:val="es-ES"/>
    </w:rPr>
  </w:style>
  <w:style w:type="paragraph" w:styleId="Piedepgina">
    <w:name w:val="footer"/>
    <w:basedOn w:val="Normal"/>
    <w:link w:val="PiedepginaCar"/>
    <w:uiPriority w:val="99"/>
    <w:unhideWhenUsed/>
    <w:rsid w:val="00C0503E"/>
    <w:pPr>
      <w:tabs>
        <w:tab w:val="center" w:pos="4419"/>
        <w:tab w:val="right" w:pos="8838"/>
      </w:tabs>
    </w:pPr>
  </w:style>
  <w:style w:type="character" w:customStyle="1" w:styleId="PiedepginaCar">
    <w:name w:val="Pie de página Car"/>
    <w:basedOn w:val="Fuentedeprrafopredeter"/>
    <w:link w:val="Piedepgina"/>
    <w:uiPriority w:val="99"/>
    <w:rsid w:val="00C0503E"/>
    <w:rPr>
      <w:rFonts w:ascii="Cambria" w:eastAsia="Cambria" w:hAnsi="Cambria" w:cs="Cambria"/>
      <w:lang w:val="es-ES"/>
    </w:rPr>
  </w:style>
  <w:style w:type="paragraph" w:styleId="Textonotapie">
    <w:name w:val="footnote text"/>
    <w:basedOn w:val="Normal"/>
    <w:link w:val="TextonotapieCar"/>
    <w:uiPriority w:val="99"/>
    <w:semiHidden/>
    <w:unhideWhenUsed/>
    <w:rsid w:val="00C0503E"/>
    <w:rPr>
      <w:sz w:val="20"/>
      <w:szCs w:val="20"/>
    </w:rPr>
  </w:style>
  <w:style w:type="character" w:customStyle="1" w:styleId="TextonotapieCar">
    <w:name w:val="Texto nota pie Car"/>
    <w:basedOn w:val="Fuentedeprrafopredeter"/>
    <w:link w:val="Textonotapie"/>
    <w:uiPriority w:val="99"/>
    <w:semiHidden/>
    <w:rsid w:val="00C0503E"/>
    <w:rPr>
      <w:rFonts w:ascii="Cambria" w:eastAsia="Cambria" w:hAnsi="Cambria" w:cs="Cambria"/>
      <w:sz w:val="20"/>
      <w:szCs w:val="20"/>
      <w:lang w:val="es-ES"/>
    </w:rPr>
  </w:style>
  <w:style w:type="character" w:styleId="Refdenotaalpie">
    <w:name w:val="footnote reference"/>
    <w:basedOn w:val="Fuentedeprrafopredeter"/>
    <w:uiPriority w:val="99"/>
    <w:semiHidden/>
    <w:unhideWhenUsed/>
    <w:rsid w:val="00C0503E"/>
    <w:rPr>
      <w:vertAlign w:val="superscript"/>
    </w:rPr>
  </w:style>
  <w:style w:type="character" w:styleId="Hipervnculo">
    <w:name w:val="Hyperlink"/>
    <w:basedOn w:val="Fuentedeprrafopredeter"/>
    <w:uiPriority w:val="99"/>
    <w:unhideWhenUsed/>
    <w:rsid w:val="00A3742F"/>
    <w:rPr>
      <w:color w:val="0563C1" w:themeColor="hyperlink"/>
      <w:u w:val="single"/>
    </w:rPr>
  </w:style>
  <w:style w:type="character" w:styleId="Mencinsinresolver">
    <w:name w:val="Unresolved Mention"/>
    <w:basedOn w:val="Fuentedeprrafopredeter"/>
    <w:uiPriority w:val="99"/>
    <w:semiHidden/>
    <w:unhideWhenUsed/>
    <w:rsid w:val="00A3742F"/>
    <w:rPr>
      <w:color w:val="605E5C"/>
      <w:shd w:val="clear" w:color="auto" w:fill="E1DFDD"/>
    </w:rPr>
  </w:style>
  <w:style w:type="paragraph" w:styleId="Prrafodelista">
    <w:name w:val="List Paragraph"/>
    <w:basedOn w:val="Normal"/>
    <w:uiPriority w:val="34"/>
    <w:qFormat/>
    <w:rsid w:val="0001621A"/>
    <w:pPr>
      <w:ind w:left="720"/>
      <w:contextualSpacing/>
    </w:pPr>
  </w:style>
  <w:style w:type="paragraph" w:styleId="NormalWeb">
    <w:name w:val="Normal (Web)"/>
    <w:basedOn w:val="Normal"/>
    <w:uiPriority w:val="99"/>
    <w:unhideWhenUsed/>
    <w:rsid w:val="00322104"/>
    <w:pPr>
      <w:widowControl/>
      <w:autoSpaceDE/>
      <w:autoSpaceDN/>
      <w:spacing w:before="100" w:beforeAutospacing="1" w:after="100" w:afterAutospacing="1"/>
    </w:pPr>
    <w:rPr>
      <w:rFonts w:ascii="Times New Roman" w:eastAsia="Times New Roman" w:hAnsi="Times New Roman" w:cs="Times New Roman"/>
      <w:sz w:val="24"/>
      <w:szCs w:val="24"/>
      <w:lang w:val="es-CO" w:eastAsia="es-CO"/>
    </w:rPr>
  </w:style>
  <w:style w:type="character" w:styleId="Textoennegrita">
    <w:name w:val="Strong"/>
    <w:basedOn w:val="Fuentedeprrafopredeter"/>
    <w:uiPriority w:val="22"/>
    <w:qFormat/>
    <w:rsid w:val="00322104"/>
    <w:rPr>
      <w:b/>
      <w:bCs/>
    </w:rPr>
  </w:style>
  <w:style w:type="character" w:styleId="nfasis">
    <w:name w:val="Emphasis"/>
    <w:basedOn w:val="Fuentedeprrafopredeter"/>
    <w:uiPriority w:val="20"/>
    <w:qFormat/>
    <w:rsid w:val="00A75FF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7798346">
      <w:bodyDiv w:val="1"/>
      <w:marLeft w:val="0"/>
      <w:marRight w:val="0"/>
      <w:marTop w:val="0"/>
      <w:marBottom w:val="0"/>
      <w:divBdr>
        <w:top w:val="none" w:sz="0" w:space="0" w:color="auto"/>
        <w:left w:val="none" w:sz="0" w:space="0" w:color="auto"/>
        <w:bottom w:val="none" w:sz="0" w:space="0" w:color="auto"/>
        <w:right w:val="none" w:sz="0" w:space="0" w:color="auto"/>
      </w:divBdr>
    </w:div>
    <w:div w:id="735470636">
      <w:bodyDiv w:val="1"/>
      <w:marLeft w:val="0"/>
      <w:marRight w:val="0"/>
      <w:marTop w:val="0"/>
      <w:marBottom w:val="0"/>
      <w:divBdr>
        <w:top w:val="none" w:sz="0" w:space="0" w:color="auto"/>
        <w:left w:val="none" w:sz="0" w:space="0" w:color="auto"/>
        <w:bottom w:val="none" w:sz="0" w:space="0" w:color="auto"/>
        <w:right w:val="none" w:sz="0" w:space="0" w:color="auto"/>
      </w:divBdr>
    </w:div>
    <w:div w:id="1837454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trolyvigilancia.admn@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funcionpublica.gov.co/eva/gestornormativo/norma.php?i=41249" TargetMode="External"/><Relationship Id="rId4" Type="http://schemas.openxmlformats.org/officeDocument/2006/relationships/settings" Target="settings.xml"/><Relationship Id="rId9" Type="http://schemas.openxmlformats.org/officeDocument/2006/relationships/hyperlink" Target="https://www.funcionpublica.gov.co/eva/gestornormativo/norma.php?i=4124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86F69E-0660-4ED8-A6F7-FB67C95BF3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1329</Words>
  <Characters>7310</Characters>
  <Application>Microsoft Office Word</Application>
  <DocSecurity>0</DocSecurity>
  <Lines>60</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Jeferson Casas Zuluaga</dc:creator>
  <cp:keywords/>
  <dc:description/>
  <cp:lastModifiedBy>Elizabeth Álvarez Quintana</cp:lastModifiedBy>
  <cp:revision>2</cp:revision>
  <cp:lastPrinted>2022-05-27T15:12:00Z</cp:lastPrinted>
  <dcterms:created xsi:type="dcterms:W3CDTF">2022-05-27T17:25:00Z</dcterms:created>
  <dcterms:modified xsi:type="dcterms:W3CDTF">2022-05-27T17:25:00Z</dcterms:modified>
</cp:coreProperties>
</file>